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36"/>
          <w:szCs w:val="36"/>
          <w:highlight w:val="none"/>
          <w:lang w:val="en-US" w:eastAsia="zh-CN"/>
        </w:rPr>
      </w:pPr>
    </w:p>
    <w:p>
      <w:pPr>
        <w:rPr>
          <w:rFonts w:hint="default" w:ascii="Times New Roman" w:hAnsi="Times New Roman" w:eastAsia="宋体" w:cs="Times New Roman"/>
          <w:color w:val="auto"/>
          <w:sz w:val="36"/>
          <w:szCs w:val="36"/>
          <w:highlight w:val="none"/>
        </w:rPr>
      </w:pPr>
    </w:p>
    <w:p>
      <w:pPr>
        <w:rPr>
          <w:rFonts w:hint="default" w:ascii="Times New Roman" w:hAnsi="Times New Roman" w:eastAsia="宋体" w:cs="Times New Roman"/>
          <w:color w:val="auto"/>
          <w:sz w:val="36"/>
          <w:szCs w:val="36"/>
          <w:highlight w:val="none"/>
        </w:rPr>
      </w:pPr>
    </w:p>
    <w:p>
      <w:pPr>
        <w:adjustRightInd w:val="0"/>
        <w:snapToGrid w:val="0"/>
        <w:jc w:val="center"/>
        <w:outlineLvl w:val="0"/>
        <w:rPr>
          <w:rFonts w:hint="default" w:ascii="Times New Roman" w:hAnsi="Times New Roman" w:eastAsia="宋体" w:cs="Times New Roman"/>
          <w:bCs/>
          <w:color w:val="auto"/>
          <w:sz w:val="72"/>
          <w:szCs w:val="72"/>
          <w:highlight w:val="none"/>
        </w:rPr>
      </w:pPr>
      <w:bookmarkStart w:id="0" w:name="_Toc68247209"/>
      <w:r>
        <w:rPr>
          <w:rFonts w:hint="default" w:ascii="Times New Roman" w:hAnsi="Times New Roman" w:eastAsia="宋体" w:cs="Times New Roman"/>
          <w:bCs/>
          <w:color w:val="auto"/>
          <w:sz w:val="72"/>
          <w:szCs w:val="72"/>
          <w:highlight w:val="none"/>
        </w:rPr>
        <w:t>建设项目环境影响报告表</w:t>
      </w:r>
      <w:bookmarkEnd w:id="0"/>
    </w:p>
    <w:p>
      <w:pPr>
        <w:adjustRightInd w:val="0"/>
        <w:snapToGrid w:val="0"/>
        <w:spacing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pPr>
        <w:ind w:firstLine="1040"/>
        <w:rPr>
          <w:rFonts w:hint="default" w:ascii="Times New Roman" w:hAnsi="Times New Roman" w:eastAsia="宋体" w:cs="Times New Roman"/>
          <w:color w:val="auto"/>
          <w:sz w:val="44"/>
          <w:szCs w:val="44"/>
          <w:highlight w:val="none"/>
        </w:rPr>
      </w:pPr>
    </w:p>
    <w:p>
      <w:pPr>
        <w:ind w:firstLine="1040"/>
        <w:rPr>
          <w:rFonts w:hint="default" w:ascii="Times New Roman" w:hAnsi="Times New Roman" w:eastAsia="宋体" w:cs="Times New Roman"/>
          <w:color w:val="auto"/>
          <w:sz w:val="44"/>
          <w:szCs w:val="44"/>
          <w:highlight w:val="none"/>
        </w:rPr>
      </w:pPr>
    </w:p>
    <w:p>
      <w:pPr>
        <w:ind w:firstLine="1040"/>
        <w:rPr>
          <w:rFonts w:hint="default" w:ascii="Times New Roman" w:hAnsi="Times New Roman" w:eastAsia="宋体" w:cs="Times New Roman"/>
          <w:color w:val="auto"/>
          <w:sz w:val="44"/>
          <w:szCs w:val="44"/>
          <w:highlight w:val="none"/>
        </w:rPr>
      </w:pPr>
    </w:p>
    <w:p>
      <w:pPr>
        <w:ind w:firstLine="1040"/>
        <w:rPr>
          <w:rFonts w:hint="default" w:ascii="Times New Roman" w:hAnsi="Times New Roman" w:eastAsia="宋体" w:cs="Times New Roman"/>
          <w:color w:val="auto"/>
          <w:sz w:val="44"/>
          <w:szCs w:val="44"/>
          <w:highlight w:val="none"/>
        </w:rPr>
      </w:pPr>
    </w:p>
    <w:p>
      <w:pPr>
        <w:adjustRightInd w:val="0"/>
        <w:snapToGrid w:val="0"/>
        <w:spacing w:line="720" w:lineRule="exact"/>
        <w:rPr>
          <w:rFonts w:hint="default" w:ascii="Times New Roman" w:hAnsi="Times New Roman" w:eastAsia="宋体" w:cs="Times New Roman"/>
          <w:color w:val="auto"/>
          <w:sz w:val="36"/>
          <w:szCs w:val="36"/>
          <w:highlight w:val="none"/>
          <w:u w:val="single"/>
        </w:r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3"/>
        <w:gridCol w:w="576"/>
        <w:gridCol w:w="5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16" w:type="pct"/>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36"/>
                <w:szCs w:val="36"/>
                <w:highlight w:val="none"/>
                <w:u w:val="single"/>
                <w:vertAlign w:val="baseline"/>
              </w:rPr>
            </w:pPr>
            <w:bookmarkStart w:id="1" w:name="_Hlk57884087"/>
            <w:r>
              <w:rPr>
                <w:rFonts w:hint="default" w:ascii="Times New Roman" w:hAnsi="Times New Roman" w:eastAsia="宋体" w:cs="Times New Roman"/>
                <w:color w:val="auto"/>
                <w:sz w:val="36"/>
                <w:szCs w:val="36"/>
                <w:highlight w:val="none"/>
              </w:rPr>
              <w:t>项  目  名  称</w:t>
            </w:r>
          </w:p>
        </w:tc>
        <w:tc>
          <w:tcPr>
            <w:tcW w:w="190" w:type="pct"/>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36"/>
                <w:szCs w:val="36"/>
                <w:highlight w:val="none"/>
                <w:u w:val="single"/>
                <w:vertAlign w:val="baseline"/>
              </w:rPr>
            </w:pPr>
            <w:r>
              <w:rPr>
                <w:rFonts w:hint="default" w:ascii="Times New Roman" w:hAnsi="Times New Roman" w:eastAsia="宋体" w:cs="Times New Roman"/>
                <w:color w:val="auto"/>
                <w:sz w:val="36"/>
                <w:szCs w:val="36"/>
                <w:highlight w:val="none"/>
              </w:rPr>
              <w:t>：</w:t>
            </w:r>
          </w:p>
        </w:tc>
        <w:tc>
          <w:tcPr>
            <w:tcW w:w="3192" w:type="pct"/>
            <w:tcBorders>
              <w:top w:val="nil"/>
              <w:left w:val="nil"/>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32"/>
                <w:szCs w:val="32"/>
                <w:highlight w:val="none"/>
                <w:u w:val="single"/>
                <w:vertAlign w:val="baseline"/>
              </w:rPr>
            </w:pPr>
            <w:r>
              <w:rPr>
                <w:rFonts w:hint="default"/>
                <w:color w:val="auto"/>
                <w:sz w:val="32"/>
                <w:szCs w:val="32"/>
                <w:highlight w:val="none"/>
                <w:u w:val="none"/>
              </w:rPr>
              <w:t>年加工78万件强化轨体项目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16" w:type="pct"/>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36"/>
                <w:szCs w:val="36"/>
                <w:highlight w:val="none"/>
                <w:u w:val="single"/>
                <w:vertAlign w:val="baseline"/>
              </w:rPr>
            </w:pPr>
            <w:r>
              <w:rPr>
                <w:rFonts w:hint="default" w:ascii="Times New Roman" w:hAnsi="Times New Roman" w:eastAsia="宋体" w:cs="Times New Roman"/>
                <w:color w:val="auto"/>
                <w:sz w:val="36"/>
                <w:szCs w:val="36"/>
                <w:highlight w:val="none"/>
              </w:rPr>
              <w:t>建设单位（盖章）</w:t>
            </w:r>
          </w:p>
        </w:tc>
        <w:tc>
          <w:tcPr>
            <w:tcW w:w="190" w:type="pct"/>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36"/>
                <w:szCs w:val="36"/>
                <w:highlight w:val="none"/>
                <w:u w:val="single"/>
                <w:vertAlign w:val="baseline"/>
              </w:rPr>
            </w:pPr>
            <w:r>
              <w:rPr>
                <w:rFonts w:hint="default" w:ascii="Times New Roman" w:hAnsi="Times New Roman" w:eastAsia="宋体" w:cs="Times New Roman"/>
                <w:color w:val="auto"/>
                <w:sz w:val="36"/>
                <w:szCs w:val="36"/>
                <w:highlight w:val="none"/>
              </w:rPr>
              <w:t>：</w:t>
            </w:r>
          </w:p>
        </w:tc>
        <w:tc>
          <w:tcPr>
            <w:tcW w:w="3192" w:type="pct"/>
            <w:tcBorders>
              <w:top w:val="single" w:color="auto" w:sz="4" w:space="0"/>
              <w:left w:val="nil"/>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32"/>
                <w:szCs w:val="32"/>
                <w:highlight w:val="none"/>
                <w:u w:val="single"/>
                <w:vertAlign w:val="baseline"/>
              </w:rPr>
            </w:pPr>
            <w:r>
              <w:rPr>
                <w:rFonts w:hint="default" w:ascii="Times New Roman" w:hAnsi="Times New Roman" w:eastAsia="宋体" w:cs="Times New Roman"/>
                <w:color w:val="auto"/>
                <w:sz w:val="32"/>
                <w:szCs w:val="32"/>
                <w:highlight w:val="none"/>
              </w:rPr>
              <w:t>博世动力总成有限公司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16" w:type="pct"/>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36"/>
                <w:szCs w:val="36"/>
                <w:highlight w:val="none"/>
                <w:u w:val="single"/>
                <w:vertAlign w:val="baseline"/>
              </w:rPr>
            </w:pPr>
            <w:r>
              <w:rPr>
                <w:rFonts w:hint="default" w:ascii="Times New Roman" w:hAnsi="Times New Roman" w:eastAsia="宋体" w:cs="Times New Roman"/>
                <w:color w:val="auto"/>
                <w:sz w:val="36"/>
                <w:szCs w:val="36"/>
                <w:highlight w:val="none"/>
              </w:rPr>
              <w:t>编  制  日  期</w:t>
            </w:r>
          </w:p>
        </w:tc>
        <w:tc>
          <w:tcPr>
            <w:tcW w:w="190" w:type="pct"/>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36"/>
                <w:szCs w:val="36"/>
                <w:highlight w:val="none"/>
                <w:u w:val="single"/>
                <w:vertAlign w:val="baseline"/>
              </w:rPr>
            </w:pPr>
            <w:r>
              <w:rPr>
                <w:rFonts w:hint="default" w:ascii="Times New Roman" w:hAnsi="Times New Roman" w:eastAsia="宋体" w:cs="Times New Roman"/>
                <w:color w:val="auto"/>
                <w:sz w:val="36"/>
                <w:szCs w:val="36"/>
                <w:highlight w:val="none"/>
              </w:rPr>
              <w:t>：</w:t>
            </w:r>
          </w:p>
        </w:tc>
        <w:tc>
          <w:tcPr>
            <w:tcW w:w="3192" w:type="pct"/>
            <w:tcBorders>
              <w:top w:val="single" w:color="auto" w:sz="4" w:space="0"/>
              <w:left w:val="nil"/>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32"/>
                <w:szCs w:val="32"/>
                <w:highlight w:val="none"/>
                <w:u w:val="single"/>
                <w:vertAlign w:val="baseline"/>
              </w:rPr>
            </w:pPr>
            <w:r>
              <w:rPr>
                <w:rFonts w:hint="default" w:ascii="Times New Roman" w:hAnsi="Times New Roman" w:eastAsia="宋体" w:cs="Times New Roman"/>
                <w:color w:val="auto"/>
                <w:sz w:val="32"/>
                <w:szCs w:val="32"/>
                <w:highlight w:val="none"/>
                <w:u w:val="none"/>
              </w:rPr>
              <w:t>202</w:t>
            </w:r>
            <w:r>
              <w:rPr>
                <w:rFonts w:hint="eastAsia" w:cs="Times New Roman"/>
                <w:color w:val="auto"/>
                <w:sz w:val="32"/>
                <w:szCs w:val="32"/>
                <w:highlight w:val="none"/>
                <w:u w:val="none"/>
                <w:lang w:val="en-US" w:eastAsia="zh-CN"/>
              </w:rPr>
              <w:t>3</w:t>
            </w:r>
            <w:r>
              <w:rPr>
                <w:rFonts w:hint="default" w:ascii="Times New Roman" w:hAnsi="Times New Roman" w:eastAsia="宋体" w:cs="Times New Roman"/>
                <w:color w:val="auto"/>
                <w:sz w:val="32"/>
                <w:szCs w:val="32"/>
                <w:highlight w:val="none"/>
                <w:u w:val="none"/>
              </w:rPr>
              <w:t>年</w:t>
            </w:r>
            <w:r>
              <w:rPr>
                <w:rFonts w:hint="eastAsia" w:cs="Times New Roman"/>
                <w:color w:val="auto"/>
                <w:sz w:val="32"/>
                <w:szCs w:val="32"/>
                <w:highlight w:val="none"/>
                <w:u w:val="none"/>
                <w:lang w:val="en-US" w:eastAsia="zh-CN"/>
              </w:rPr>
              <w:t>2</w:t>
            </w:r>
            <w:r>
              <w:rPr>
                <w:rFonts w:hint="default" w:ascii="Times New Roman" w:hAnsi="Times New Roman" w:eastAsia="宋体" w:cs="Times New Roman"/>
                <w:color w:val="auto"/>
                <w:sz w:val="32"/>
                <w:szCs w:val="32"/>
                <w:highlight w:val="none"/>
                <w:u w:val="none"/>
              </w:rPr>
              <w:t>月</w:t>
            </w:r>
          </w:p>
        </w:tc>
      </w:tr>
    </w:tbl>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pStyle w:val="2"/>
        <w:rPr>
          <w:rFonts w:hint="default" w:ascii="Times New Roman" w:hAnsi="Times New Roman" w:eastAsia="宋体" w:cs="Times New Roman"/>
          <w:color w:val="auto"/>
          <w:sz w:val="36"/>
          <w:szCs w:val="36"/>
          <w:highlight w:val="none"/>
        </w:rPr>
      </w:pPr>
    </w:p>
    <w:p>
      <w:pPr>
        <w:pStyle w:val="3"/>
        <w:numPr>
          <w:ilvl w:val="0"/>
          <w:numId w:val="0"/>
        </w:numPr>
        <w:ind w:left="1680" w:leftChars="0"/>
        <w:rPr>
          <w:rFonts w:hint="default" w:ascii="Times New Roman" w:hAnsi="Times New Roman" w:eastAsia="宋体" w:cs="Times New Roman"/>
          <w:color w:val="auto"/>
          <w:sz w:val="36"/>
          <w:szCs w:val="36"/>
          <w:highlight w:val="none"/>
        </w:rPr>
      </w:pPr>
    </w:p>
    <w:p>
      <w:pPr>
        <w:pStyle w:val="3"/>
        <w:numPr>
          <w:ilvl w:val="0"/>
          <w:numId w:val="0"/>
        </w:numPr>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1"/>
    <w:p>
      <w:pP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pPr>
        <w:adjustRightInd w:val="0"/>
        <w:snapToGrid w:val="0"/>
        <w:spacing w:line="288" w:lineRule="auto"/>
        <w:ind w:firstLine="1040"/>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67"/>
        <w:spacing w:before="0"/>
        <w:jc w:val="center"/>
        <w:rPr>
          <w:rFonts w:hint="default" w:ascii="Times New Roman" w:hAnsi="Times New Roman" w:eastAsia="宋体" w:cs="Times New Roman"/>
          <w:color w:val="auto"/>
          <w:sz w:val="36"/>
          <w:highlight w:val="none"/>
        </w:rPr>
      </w:pPr>
      <w:r>
        <w:rPr>
          <w:rFonts w:hint="default" w:ascii="Times New Roman" w:hAnsi="Times New Roman" w:eastAsia="宋体" w:cs="Times New Roman"/>
          <w:color w:val="auto"/>
          <w:sz w:val="36"/>
          <w:highlight w:val="none"/>
          <w:lang w:val="zh-CN"/>
        </w:rPr>
        <w:t>目录</w:t>
      </w:r>
    </w:p>
    <w:p>
      <w:pPr>
        <w:pStyle w:val="15"/>
        <w:tabs>
          <w:tab w:val="right" w:leader="dot" w:pos="8834"/>
        </w:tabs>
        <w:spacing w:line="44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highlight w:val="none"/>
          <w:lang w:val="zh-CN"/>
        </w:rPr>
        <w:fldChar w:fldCharType="begin"/>
      </w:r>
      <w:r>
        <w:rPr>
          <w:rFonts w:hint="default" w:ascii="Times New Roman" w:hAnsi="Times New Roman" w:eastAsia="宋体" w:cs="Times New Roman"/>
          <w:b/>
          <w:bCs/>
          <w:color w:val="auto"/>
          <w:highlight w:val="none"/>
          <w:lang w:val="zh-CN"/>
        </w:rPr>
        <w:instrText xml:space="preserve"> TOC \o "1-3" \h \z \u </w:instrText>
      </w:r>
      <w:r>
        <w:rPr>
          <w:rFonts w:hint="default" w:ascii="Times New Roman" w:hAnsi="Times New Roman" w:eastAsia="宋体" w:cs="Times New Roman"/>
          <w:b/>
          <w:bCs/>
          <w:color w:val="auto"/>
          <w:highlight w:val="none"/>
          <w:lang w:val="zh-CN"/>
        </w:rPr>
        <w:fldChar w:fldCharType="separate"/>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"_Toc68247210" </w:instrText>
      </w:r>
      <w:r>
        <w:rPr>
          <w:rFonts w:hint="default" w:ascii="Times New Roman" w:hAnsi="Times New Roman" w:eastAsia="宋体" w:cs="Times New Roman"/>
          <w:color w:val="auto"/>
          <w:highlight w:val="none"/>
        </w:rPr>
        <w:fldChar w:fldCharType="separate"/>
      </w:r>
      <w:r>
        <w:rPr>
          <w:rStyle w:val="26"/>
          <w:rFonts w:hint="default" w:ascii="Times New Roman" w:hAnsi="Times New Roman" w:eastAsia="宋体" w:cs="Times New Roman"/>
          <w:snapToGrid w:val="0"/>
          <w:color w:val="auto"/>
          <w:sz w:val="24"/>
          <w:highlight w:val="none"/>
        </w:rPr>
        <w:t>一、建设项目基本情况</w:t>
      </w:r>
      <w:r>
        <w:rPr>
          <w:rFonts w:hint="default" w:ascii="Times New Roman" w:hAnsi="Times New Roman" w:eastAsia="宋体" w:cs="Times New Roman"/>
          <w:color w:val="auto"/>
          <w:sz w:val="24"/>
          <w:highlight w:val="none"/>
        </w:rPr>
        <w:tab/>
      </w: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PAGEREF _Toc68247210 \h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11</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fldChar w:fldCharType="end"/>
      </w:r>
    </w:p>
    <w:p>
      <w:pPr>
        <w:pStyle w:val="15"/>
        <w:tabs>
          <w:tab w:val="right" w:leader="dot" w:pos="8834"/>
        </w:tabs>
        <w:spacing w:line="44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"_Toc68247211" </w:instrText>
      </w:r>
      <w:r>
        <w:rPr>
          <w:rFonts w:hint="default" w:ascii="Times New Roman" w:hAnsi="Times New Roman" w:eastAsia="宋体" w:cs="Times New Roman"/>
          <w:color w:val="auto"/>
          <w:highlight w:val="none"/>
        </w:rPr>
        <w:fldChar w:fldCharType="separate"/>
      </w:r>
      <w:r>
        <w:rPr>
          <w:rStyle w:val="26"/>
          <w:rFonts w:hint="default" w:ascii="Times New Roman" w:hAnsi="Times New Roman" w:eastAsia="宋体" w:cs="Times New Roman"/>
          <w:snapToGrid w:val="0"/>
          <w:color w:val="auto"/>
          <w:sz w:val="24"/>
          <w:highlight w:val="none"/>
        </w:rPr>
        <w:t>二、建设项目工程分析</w:t>
      </w:r>
      <w:r>
        <w:rPr>
          <w:rFonts w:hint="default" w:ascii="Times New Roman" w:hAnsi="Times New Roman" w:eastAsia="宋体" w:cs="Times New Roman"/>
          <w:color w:val="auto"/>
          <w:sz w:val="24"/>
          <w:highlight w:val="none"/>
        </w:rPr>
        <w:tab/>
      </w: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PAGEREF _Toc68247211 \h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12</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fldChar w:fldCharType="end"/>
      </w:r>
    </w:p>
    <w:p>
      <w:pPr>
        <w:pStyle w:val="15"/>
        <w:tabs>
          <w:tab w:val="right" w:leader="dot" w:pos="8834"/>
        </w:tabs>
        <w:spacing w:line="44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"_Toc68247212" </w:instrText>
      </w:r>
      <w:r>
        <w:rPr>
          <w:rFonts w:hint="default" w:ascii="Times New Roman" w:hAnsi="Times New Roman" w:eastAsia="宋体" w:cs="Times New Roman"/>
          <w:color w:val="auto"/>
          <w:highlight w:val="none"/>
        </w:rPr>
        <w:fldChar w:fldCharType="separate"/>
      </w:r>
      <w:r>
        <w:rPr>
          <w:rStyle w:val="26"/>
          <w:rFonts w:hint="default" w:ascii="Times New Roman" w:hAnsi="Times New Roman" w:eastAsia="宋体" w:cs="Times New Roman"/>
          <w:snapToGrid w:val="0"/>
          <w:color w:val="auto"/>
          <w:sz w:val="24"/>
          <w:highlight w:val="none"/>
        </w:rPr>
        <w:t>三、区域环境质量现状、环境保护目标及评价标准</w:t>
      </w:r>
      <w:r>
        <w:rPr>
          <w:rFonts w:hint="default" w:ascii="Times New Roman" w:hAnsi="Times New Roman" w:eastAsia="宋体" w:cs="Times New Roman"/>
          <w:color w:val="auto"/>
          <w:sz w:val="24"/>
          <w:highlight w:val="none"/>
        </w:rPr>
        <w:tab/>
      </w: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PAGEREF _Toc68247212 \h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23</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fldChar w:fldCharType="end"/>
      </w:r>
    </w:p>
    <w:p>
      <w:pPr>
        <w:pStyle w:val="15"/>
        <w:tabs>
          <w:tab w:val="right" w:leader="dot" w:pos="8834"/>
        </w:tabs>
        <w:spacing w:line="44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"_Toc68247213" </w:instrText>
      </w:r>
      <w:r>
        <w:rPr>
          <w:rFonts w:hint="default" w:ascii="Times New Roman" w:hAnsi="Times New Roman" w:eastAsia="宋体" w:cs="Times New Roman"/>
          <w:color w:val="auto"/>
          <w:highlight w:val="none"/>
        </w:rPr>
        <w:fldChar w:fldCharType="separate"/>
      </w:r>
      <w:r>
        <w:rPr>
          <w:rStyle w:val="26"/>
          <w:rFonts w:hint="default" w:ascii="Times New Roman" w:hAnsi="Times New Roman" w:eastAsia="宋体" w:cs="Times New Roman"/>
          <w:snapToGrid w:val="0"/>
          <w:color w:val="auto"/>
          <w:sz w:val="24"/>
          <w:highlight w:val="none"/>
        </w:rPr>
        <w:t>四、主要环境影响和保护措施</w:t>
      </w:r>
      <w:r>
        <w:rPr>
          <w:rFonts w:hint="default" w:ascii="Times New Roman" w:hAnsi="Times New Roman" w:eastAsia="宋体" w:cs="Times New Roman"/>
          <w:color w:val="auto"/>
          <w:sz w:val="24"/>
          <w:highlight w:val="none"/>
        </w:rPr>
        <w:tab/>
      </w: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PAGEREF _Toc68247213 \h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56</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fldChar w:fldCharType="end"/>
      </w:r>
    </w:p>
    <w:p>
      <w:pPr>
        <w:pStyle w:val="15"/>
        <w:tabs>
          <w:tab w:val="right" w:leader="dot" w:pos="8834"/>
        </w:tabs>
        <w:spacing w:line="44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"_Toc68247243" </w:instrText>
      </w:r>
      <w:r>
        <w:rPr>
          <w:rFonts w:hint="default" w:ascii="Times New Roman" w:hAnsi="Times New Roman" w:eastAsia="宋体" w:cs="Times New Roman"/>
          <w:color w:val="auto"/>
          <w:highlight w:val="none"/>
        </w:rPr>
        <w:fldChar w:fldCharType="separate"/>
      </w:r>
      <w:r>
        <w:rPr>
          <w:rStyle w:val="26"/>
          <w:rFonts w:hint="default" w:ascii="Times New Roman" w:hAnsi="Times New Roman" w:eastAsia="宋体" w:cs="Times New Roman"/>
          <w:snapToGrid w:val="0"/>
          <w:color w:val="auto"/>
          <w:sz w:val="24"/>
          <w:highlight w:val="none"/>
        </w:rPr>
        <w:t>五、环境保护措施监督检查清单</w:t>
      </w:r>
      <w:r>
        <w:rPr>
          <w:rFonts w:hint="default" w:ascii="Times New Roman" w:hAnsi="Times New Roman" w:eastAsia="宋体" w:cs="Times New Roman"/>
          <w:color w:val="auto"/>
          <w:sz w:val="24"/>
          <w:highlight w:val="none"/>
        </w:rPr>
        <w:tab/>
      </w: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PAGEREF _Toc68247243 \h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81</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fldChar w:fldCharType="end"/>
      </w:r>
    </w:p>
    <w:p>
      <w:pPr>
        <w:pStyle w:val="15"/>
        <w:tabs>
          <w:tab w:val="right" w:leader="dot" w:pos="8834"/>
        </w:tabs>
        <w:spacing w:line="44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"_Toc68247244" </w:instrText>
      </w:r>
      <w:r>
        <w:rPr>
          <w:rFonts w:hint="default" w:ascii="Times New Roman" w:hAnsi="Times New Roman" w:eastAsia="宋体" w:cs="Times New Roman"/>
          <w:color w:val="auto"/>
          <w:highlight w:val="none"/>
        </w:rPr>
        <w:fldChar w:fldCharType="separate"/>
      </w:r>
      <w:r>
        <w:rPr>
          <w:rStyle w:val="26"/>
          <w:rFonts w:hint="default" w:ascii="Times New Roman" w:hAnsi="Times New Roman" w:eastAsia="宋体" w:cs="Times New Roman"/>
          <w:snapToGrid w:val="0"/>
          <w:color w:val="auto"/>
          <w:sz w:val="24"/>
          <w:highlight w:val="none"/>
        </w:rPr>
        <w:t>六、结论</w:t>
      </w:r>
      <w:r>
        <w:rPr>
          <w:rFonts w:hint="default" w:ascii="Times New Roman" w:hAnsi="Times New Roman" w:eastAsia="宋体" w:cs="Times New Roman"/>
          <w:color w:val="auto"/>
          <w:sz w:val="24"/>
          <w:highlight w:val="none"/>
        </w:rPr>
        <w:tab/>
      </w: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PAGEREF _Toc68247244 \h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83</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fldChar w:fldCharType="end"/>
      </w:r>
    </w:p>
    <w:p>
      <w:pPr>
        <w:pStyle w:val="15"/>
        <w:tabs>
          <w:tab w:val="right" w:leader="dot" w:pos="8834"/>
        </w:tabs>
        <w:spacing w:line="44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\l "_Toc68247245" </w:instrText>
      </w:r>
      <w:r>
        <w:rPr>
          <w:rFonts w:hint="default" w:ascii="Times New Roman" w:hAnsi="Times New Roman" w:eastAsia="宋体" w:cs="Times New Roman"/>
          <w:color w:val="auto"/>
          <w:highlight w:val="none"/>
        </w:rPr>
        <w:fldChar w:fldCharType="separate"/>
      </w:r>
      <w:r>
        <w:rPr>
          <w:rStyle w:val="26"/>
          <w:rFonts w:hint="default" w:ascii="Times New Roman" w:hAnsi="Times New Roman" w:eastAsia="宋体" w:cs="Times New Roman"/>
          <w:snapToGrid w:val="0"/>
          <w:color w:val="auto"/>
          <w:sz w:val="24"/>
          <w:highlight w:val="none"/>
        </w:rPr>
        <w:t>建设项目污染物排放量汇总表</w:t>
      </w:r>
      <w:r>
        <w:rPr>
          <w:rFonts w:hint="default" w:ascii="Times New Roman" w:hAnsi="Times New Roman" w:eastAsia="宋体" w:cs="Times New Roman"/>
          <w:color w:val="auto"/>
          <w:sz w:val="24"/>
          <w:highlight w:val="none"/>
        </w:rPr>
        <w:tab/>
      </w: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PAGEREF _Toc68247245 \h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84</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fldChar w:fldCharType="end"/>
      </w:r>
    </w:p>
    <w:p>
      <w:pPr>
        <w:spacing w:line="440" w:lineRule="exact"/>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fldChar w:fldCharType="end"/>
      </w:r>
    </w:p>
    <w:p>
      <w:pPr>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br w:type="page"/>
      </w:r>
    </w:p>
    <w:p>
      <w:pPr>
        <w:spacing w:line="440" w:lineRule="exact"/>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附图：</w:t>
      </w:r>
    </w:p>
    <w:p>
      <w:pPr>
        <w:tabs>
          <w:tab w:val="left" w:pos="6405"/>
        </w:tabs>
        <w:spacing w:line="420" w:lineRule="exact"/>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附图1   本项目所在地理位置图</w:t>
      </w:r>
    </w:p>
    <w:p>
      <w:pPr>
        <w:spacing w:line="42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附图2   本项目周围环境图</w:t>
      </w:r>
    </w:p>
    <w:p>
      <w:pPr>
        <w:tabs>
          <w:tab w:val="left" w:pos="1515"/>
        </w:tabs>
        <w:spacing w:line="420" w:lineRule="exact"/>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附图3   本项目所在区域土地利用规划图</w:t>
      </w:r>
    </w:p>
    <w:p>
      <w:pPr>
        <w:tabs>
          <w:tab w:val="left" w:pos="4080"/>
        </w:tabs>
        <w:spacing w:line="420" w:lineRule="exact"/>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附图4   本项目厂区平面布局图</w:t>
      </w:r>
    </w:p>
    <w:p>
      <w:pPr>
        <w:tabs>
          <w:tab w:val="left" w:pos="5310"/>
        </w:tabs>
        <w:spacing w:line="42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附图5   本项目</w:t>
      </w:r>
      <w:r>
        <w:rPr>
          <w:rFonts w:hint="default" w:ascii="Times New Roman" w:hAnsi="Times New Roman" w:eastAsia="宋体" w:cs="Times New Roman"/>
          <w:color w:val="auto"/>
          <w:sz w:val="24"/>
          <w:highlight w:val="none"/>
          <w:lang w:val="en-US" w:eastAsia="zh-CN"/>
        </w:rPr>
        <w:t>生产</w:t>
      </w:r>
      <w:r>
        <w:rPr>
          <w:rFonts w:hint="default" w:ascii="Times New Roman" w:hAnsi="Times New Roman" w:eastAsia="宋体" w:cs="Times New Roman"/>
          <w:color w:val="auto"/>
          <w:sz w:val="24"/>
          <w:highlight w:val="none"/>
        </w:rPr>
        <w:t>车间平面布局图</w:t>
      </w:r>
    </w:p>
    <w:p>
      <w:pPr>
        <w:spacing w:line="42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附图6</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生态红线区域保护规划图</w:t>
      </w:r>
    </w:p>
    <w:p>
      <w:pPr>
        <w:spacing w:line="42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附图7   无锡市环境管控单元图</w:t>
      </w:r>
    </w:p>
    <w:p>
      <w:pPr>
        <w:spacing w:line="440" w:lineRule="exact"/>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附件：</w:t>
      </w:r>
    </w:p>
    <w:p>
      <w:pPr>
        <w:spacing w:line="42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附件1：登记信息单；</w:t>
      </w:r>
    </w:p>
    <w:p>
      <w:pPr>
        <w:spacing w:line="42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附件2：江苏省投资项目备案证；</w:t>
      </w:r>
    </w:p>
    <w:p>
      <w:pPr>
        <w:spacing w:line="420" w:lineRule="exac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附件3：</w:t>
      </w:r>
      <w:r>
        <w:rPr>
          <w:rFonts w:hint="eastAsia" w:cs="Times New Roman"/>
          <w:color w:val="auto"/>
          <w:sz w:val="24"/>
          <w:highlight w:val="none"/>
          <w:lang w:val="en-US" w:eastAsia="zh-CN"/>
        </w:rPr>
        <w:t>营业执照及工商变更材料</w:t>
      </w:r>
    </w:p>
    <w:p>
      <w:pPr>
        <w:spacing w:line="420" w:lineRule="exact"/>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附件4：</w:t>
      </w:r>
      <w:r>
        <w:rPr>
          <w:rFonts w:hint="default" w:ascii="Times New Roman" w:hAnsi="Times New Roman" w:eastAsia="宋体" w:cs="Times New Roman"/>
          <w:color w:val="auto"/>
          <w:sz w:val="24"/>
          <w:highlight w:val="none"/>
          <w:lang w:val="en-US" w:eastAsia="zh-CN"/>
        </w:rPr>
        <w:t>房产证</w:t>
      </w:r>
      <w:r>
        <w:rPr>
          <w:rFonts w:hint="default" w:ascii="Times New Roman" w:hAnsi="Times New Roman" w:eastAsia="宋体" w:cs="Times New Roman"/>
          <w:color w:val="auto"/>
          <w:sz w:val="24"/>
          <w:highlight w:val="none"/>
        </w:rPr>
        <w:t>；</w:t>
      </w:r>
    </w:p>
    <w:p>
      <w:pPr>
        <w:spacing w:line="42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：现有项目环保手续；</w:t>
      </w:r>
    </w:p>
    <w:p>
      <w:pPr>
        <w:spacing w:line="42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国家</w:t>
      </w:r>
      <w:r>
        <w:rPr>
          <w:rFonts w:hint="default" w:ascii="Times New Roman" w:hAnsi="Times New Roman" w:eastAsia="宋体" w:cs="Times New Roman"/>
          <w:color w:val="auto"/>
          <w:sz w:val="24"/>
          <w:highlight w:val="none"/>
          <w:lang w:val="en-US" w:eastAsia="zh-CN"/>
        </w:rPr>
        <w:t>全国排污许可证</w:t>
      </w:r>
    </w:p>
    <w:p>
      <w:pPr>
        <w:spacing w:line="42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：危险废物处置协议</w:t>
      </w:r>
      <w:r>
        <w:rPr>
          <w:rFonts w:hint="default" w:ascii="Times New Roman" w:hAnsi="Times New Roman" w:eastAsia="宋体" w:cs="Times New Roman"/>
          <w:color w:val="auto"/>
          <w:sz w:val="24"/>
          <w:highlight w:val="none"/>
          <w:lang w:val="en-US" w:eastAsia="zh-CN"/>
        </w:rPr>
        <w:t>及说明</w:t>
      </w:r>
      <w:r>
        <w:rPr>
          <w:rFonts w:hint="default" w:ascii="Times New Roman" w:hAnsi="Times New Roman" w:eastAsia="宋体" w:cs="Times New Roman"/>
          <w:color w:val="auto"/>
          <w:sz w:val="24"/>
          <w:highlight w:val="none"/>
        </w:rPr>
        <w:t>；</w:t>
      </w:r>
    </w:p>
    <w:p>
      <w:pPr>
        <w:spacing w:line="42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：建设项目排放污染物指标申请表；</w:t>
      </w:r>
    </w:p>
    <w:p>
      <w:pPr>
        <w:spacing w:line="42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5088</w:t>
      </w:r>
      <w:r>
        <w:rPr>
          <w:rFonts w:hint="default" w:ascii="Times New Roman" w:hAnsi="Times New Roman" w:eastAsia="宋体" w:cs="Times New Roman"/>
          <w:color w:val="auto"/>
          <w:sz w:val="24"/>
          <w:highlight w:val="none"/>
        </w:rPr>
        <w:t>清洗剂MSDS及挥发分检测报告；</w:t>
      </w:r>
    </w:p>
    <w:p>
      <w:pPr>
        <w:spacing w:line="42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rPr>
        <w:t>：委托书；</w:t>
      </w:r>
    </w:p>
    <w:p>
      <w:pPr>
        <w:spacing w:line="42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附件1</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：环评合同；</w:t>
      </w:r>
    </w:p>
    <w:p>
      <w:pPr>
        <w:spacing w:line="42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附件1</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：声明确认单；</w:t>
      </w:r>
    </w:p>
    <w:p>
      <w:pPr>
        <w:spacing w:line="42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附件1</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：环评单位承诺书；</w:t>
      </w:r>
    </w:p>
    <w:p>
      <w:pPr>
        <w:spacing w:line="42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附件1</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：全本公示截图；</w:t>
      </w:r>
    </w:p>
    <w:p>
      <w:pPr>
        <w:spacing w:line="420" w:lineRule="exact"/>
        <w:rPr>
          <w:rFonts w:hint="default" w:ascii="Times New Roman" w:hAnsi="Times New Roman" w:eastAsia="宋体" w:cs="Times New Roman"/>
          <w:color w:val="auto"/>
          <w:sz w:val="24"/>
          <w:highlight w:val="none"/>
        </w:rPr>
        <w:sectPr>
          <w:footerReference r:id="rId5" w:type="default"/>
          <w:pgSz w:w="11906" w:h="16838"/>
          <w:pgMar w:top="1418" w:right="1418" w:bottom="1418" w:left="1418" w:header="851" w:footer="1077" w:gutter="0"/>
          <w:pgBorders>
            <w:top w:val="none" w:sz="0" w:space="0"/>
            <w:left w:val="none" w:sz="0" w:space="0"/>
            <w:bottom w:val="none" w:sz="0" w:space="0"/>
            <w:right w:val="none" w:sz="0" w:space="0"/>
          </w:pgBorders>
          <w:pgNumType w:fmt="upperRoman" w:start="1"/>
          <w:cols w:space="720" w:num="1"/>
          <w:docGrid w:linePitch="312" w:charSpace="0"/>
        </w:sectPr>
      </w:pPr>
      <w:r>
        <w:rPr>
          <w:rFonts w:hint="default" w:ascii="Times New Roman" w:hAnsi="Times New Roman" w:eastAsia="宋体" w:cs="Times New Roman"/>
          <w:color w:val="auto"/>
          <w:sz w:val="24"/>
          <w:highlight w:val="none"/>
        </w:rPr>
        <w:t>附件1</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：编制主持人现场踏勘照片。</w:t>
      </w:r>
    </w:p>
    <w:p>
      <w:pPr>
        <w:pStyle w:val="18"/>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rPr>
      </w:pPr>
      <w:bookmarkStart w:id="2" w:name="_Toc68247210"/>
      <w:r>
        <w:rPr>
          <w:rFonts w:hint="default" w:ascii="Times New Roman" w:hAnsi="Times New Roman" w:eastAsia="宋体" w:cs="Times New Roman"/>
          <w:snapToGrid w:val="0"/>
          <w:color w:val="auto"/>
          <w:sz w:val="30"/>
          <w:szCs w:val="30"/>
          <w:highlight w:val="none"/>
        </w:rPr>
        <w:t>一、建设项目基本情况</w:t>
      </w:r>
      <w:bookmarkEnd w:id="2"/>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05"/>
        <w:gridCol w:w="2207"/>
        <w:gridCol w:w="2680"/>
        <w:gridCol w:w="32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3"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p>
        </w:tc>
        <w:tc>
          <w:tcPr>
            <w:tcW w:w="4447" w:type="pct"/>
            <w:gridSpan w:val="3"/>
            <w:noWrap w:val="0"/>
            <w:vAlign w:val="center"/>
          </w:tcPr>
          <w:p>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color w:val="auto"/>
                <w:kern w:val="0"/>
                <w:szCs w:val="21"/>
                <w:highlight w:val="none"/>
              </w:rPr>
              <w:t>年加工78万件强化轨体项目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15" w:hRule="atLeast"/>
          <w:jc w:val="center"/>
        </w:trPr>
        <w:tc>
          <w:tcPr>
            <w:tcW w:w="553"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项目代码</w:t>
            </w:r>
          </w:p>
        </w:tc>
        <w:tc>
          <w:tcPr>
            <w:tcW w:w="4447" w:type="pct"/>
            <w:gridSpan w:val="3"/>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4"/>
                <w:highlight w:val="none"/>
                <w:lang w:val="en-US" w:eastAsia="zh-CN"/>
              </w:rPr>
              <w:t>2020-320214-36-03-668838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553"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联系人</w:t>
            </w:r>
          </w:p>
        </w:tc>
        <w:tc>
          <w:tcPr>
            <w:tcW w:w="1213"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许慧萍</w:t>
            </w:r>
          </w:p>
        </w:tc>
        <w:tc>
          <w:tcPr>
            <w:tcW w:w="1473"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联系方式</w:t>
            </w:r>
          </w:p>
        </w:tc>
        <w:tc>
          <w:tcPr>
            <w:tcW w:w="1761"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182</w:t>
            </w:r>
            <w:r>
              <w:rPr>
                <w:rFonts w:hint="eastAsia" w:cs="Times New Roman"/>
                <w:color w:val="auto"/>
                <w:szCs w:val="21"/>
                <w:highlight w:val="none"/>
                <w:lang w:val="en-US" w:eastAsia="zh-CN"/>
              </w:rPr>
              <w:t>****</w:t>
            </w:r>
            <w:bookmarkStart w:id="22" w:name="_GoBack"/>
            <w:bookmarkEnd w:id="22"/>
            <w:r>
              <w:rPr>
                <w:rFonts w:hint="default" w:ascii="Times New Roman" w:hAnsi="Times New Roman" w:eastAsia="宋体" w:cs="Times New Roman"/>
                <w:color w:val="auto"/>
                <w:szCs w:val="21"/>
                <w:highlight w:val="none"/>
              </w:rPr>
              <w:t>1317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4" w:hRule="atLeast"/>
          <w:jc w:val="center"/>
        </w:trPr>
        <w:tc>
          <w:tcPr>
            <w:tcW w:w="553" w:type="pct"/>
            <w:noWrap w:val="0"/>
            <w:tcMar>
              <w:top w:w="16" w:type="dxa"/>
              <w:left w:w="16" w:type="dxa"/>
              <w:right w:w="16" w:type="dxa"/>
            </w:tcMar>
            <w:vAlign w:val="center"/>
          </w:tcPr>
          <w:p>
            <w:pPr>
              <w:adjustRightInd w:val="0"/>
              <w:snapToGrid w:val="0"/>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建设地点</w:t>
            </w:r>
          </w:p>
        </w:tc>
        <w:tc>
          <w:tcPr>
            <w:tcW w:w="4447" w:type="pct"/>
            <w:gridSpan w:val="3"/>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u w:val="single"/>
              </w:rPr>
              <w:t>江苏</w:t>
            </w:r>
            <w:r>
              <w:rPr>
                <w:rFonts w:hint="default" w:ascii="Times New Roman" w:hAnsi="Times New Roman" w:eastAsia="宋体" w:cs="Times New Roman"/>
                <w:color w:val="auto"/>
                <w:szCs w:val="21"/>
                <w:highlight w:val="none"/>
              </w:rPr>
              <w:t>省（自治区）</w:t>
            </w:r>
            <w:r>
              <w:rPr>
                <w:rFonts w:hint="default" w:ascii="Times New Roman" w:hAnsi="Times New Roman" w:eastAsia="宋体" w:cs="Times New Roman"/>
                <w:color w:val="auto"/>
                <w:szCs w:val="21"/>
                <w:highlight w:val="none"/>
                <w:u w:val="single"/>
              </w:rPr>
              <w:t xml:space="preserve"> 无锡 </w:t>
            </w:r>
            <w:r>
              <w:rPr>
                <w:rFonts w:hint="default" w:ascii="Times New Roman" w:hAnsi="Times New Roman" w:eastAsia="宋体" w:cs="Times New Roman"/>
                <w:color w:val="auto"/>
                <w:szCs w:val="21"/>
                <w:highlight w:val="none"/>
              </w:rPr>
              <w:t>市</w:t>
            </w:r>
            <w:r>
              <w:rPr>
                <w:rFonts w:hint="default" w:ascii="Times New Roman" w:hAnsi="Times New Roman" w:eastAsia="宋体" w:cs="Times New Roman"/>
                <w:color w:val="auto"/>
                <w:szCs w:val="21"/>
                <w:highlight w:val="none"/>
                <w:u w:val="single"/>
              </w:rPr>
              <w:t xml:space="preserve"> 新吴 </w:t>
            </w:r>
            <w:r>
              <w:rPr>
                <w:rFonts w:hint="default" w:ascii="Times New Roman" w:hAnsi="Times New Roman" w:eastAsia="宋体" w:cs="Times New Roman"/>
                <w:color w:val="auto"/>
                <w:szCs w:val="21"/>
                <w:highlight w:val="none"/>
              </w:rPr>
              <w:t>县（区）</w:t>
            </w:r>
            <w:r>
              <w:rPr>
                <w:rFonts w:hint="default" w:ascii="Times New Roman" w:hAnsi="Times New Roman" w:eastAsia="宋体" w:cs="Times New Roman"/>
                <w:color w:val="auto"/>
                <w:szCs w:val="21"/>
                <w:highlight w:val="none"/>
                <w:u w:val="single"/>
                <w:lang w:val="en-US" w:eastAsia="zh-CN"/>
              </w:rPr>
              <w:t xml:space="preserve"> / </w:t>
            </w:r>
            <w:r>
              <w:rPr>
                <w:rFonts w:hint="default" w:ascii="Times New Roman" w:hAnsi="Times New Roman" w:eastAsia="宋体" w:cs="Times New Roman"/>
                <w:color w:val="auto"/>
                <w:szCs w:val="21"/>
                <w:highlight w:val="none"/>
              </w:rPr>
              <w:t>乡（街道）</w:t>
            </w:r>
            <w:r>
              <w:rPr>
                <w:rFonts w:hint="default" w:ascii="Times New Roman" w:hAnsi="Times New Roman" w:eastAsia="宋体" w:cs="Times New Roman"/>
                <w:color w:val="auto"/>
                <w:szCs w:val="21"/>
                <w:highlight w:val="none"/>
                <w:lang w:val="en-US" w:eastAsia="zh-CN"/>
              </w:rPr>
              <w:t>新华路17号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553"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地理坐标</w:t>
            </w:r>
          </w:p>
        </w:tc>
        <w:tc>
          <w:tcPr>
            <w:tcW w:w="4447" w:type="pct"/>
            <w:gridSpan w:val="3"/>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（北纬</w:t>
            </w:r>
            <w:r>
              <w:rPr>
                <w:rFonts w:hint="default" w:ascii="Times New Roman" w:hAnsi="Times New Roman" w:eastAsia="宋体" w:cs="Times New Roman"/>
                <w:color w:val="auto"/>
                <w:szCs w:val="21"/>
                <w:highlight w:val="none"/>
                <w:u w:val="single"/>
              </w:rPr>
              <w:t xml:space="preserve">  31  </w:t>
            </w:r>
            <w:r>
              <w:rPr>
                <w:rFonts w:hint="default" w:ascii="Times New Roman" w:hAnsi="Times New Roman" w:eastAsia="宋体" w:cs="Times New Roman"/>
                <w:color w:val="auto"/>
                <w:szCs w:val="21"/>
                <w:highlight w:val="none"/>
              </w:rPr>
              <w:t>度</w:t>
            </w:r>
            <w:r>
              <w:rPr>
                <w:rFonts w:hint="default" w:ascii="Times New Roman" w:hAnsi="Times New Roman" w:eastAsia="宋体" w:cs="Times New Roman"/>
                <w:color w:val="auto"/>
                <w:szCs w:val="21"/>
                <w:highlight w:val="none"/>
                <w:u w:val="single"/>
                <w:lang w:val="en-US" w:eastAsia="zh-CN"/>
              </w:rPr>
              <w:t>31</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Cs w:val="21"/>
                <w:highlight w:val="none"/>
                <w:u w:val="single"/>
                <w:lang w:val="en-US" w:eastAsia="zh-CN"/>
              </w:rPr>
              <w:t>22.16</w:t>
            </w:r>
            <w:r>
              <w:rPr>
                <w:rFonts w:hint="default" w:ascii="Times New Roman" w:hAnsi="Times New Roman" w:eastAsia="宋体" w:cs="Times New Roman"/>
                <w:color w:val="auto"/>
                <w:szCs w:val="21"/>
                <w:highlight w:val="none"/>
              </w:rPr>
              <w:t>秒，东经</w:t>
            </w:r>
            <w:r>
              <w:rPr>
                <w:rFonts w:hint="default" w:ascii="Times New Roman" w:hAnsi="Times New Roman" w:eastAsia="宋体" w:cs="Times New Roman"/>
                <w:color w:val="auto"/>
                <w:szCs w:val="21"/>
                <w:highlight w:val="none"/>
                <w:u w:val="single"/>
              </w:rPr>
              <w:t xml:space="preserve">  120  </w:t>
            </w:r>
            <w:r>
              <w:rPr>
                <w:rFonts w:hint="default" w:ascii="Times New Roman" w:hAnsi="Times New Roman" w:eastAsia="宋体" w:cs="Times New Roman"/>
                <w:color w:val="auto"/>
                <w:szCs w:val="21"/>
                <w:highlight w:val="none"/>
              </w:rPr>
              <w:t>度</w:t>
            </w:r>
            <w:r>
              <w:rPr>
                <w:rFonts w:hint="default" w:ascii="Times New Roman" w:hAnsi="Times New Roman" w:eastAsia="宋体" w:cs="Times New Roman"/>
                <w:color w:val="auto"/>
                <w:szCs w:val="21"/>
                <w:highlight w:val="none"/>
                <w:u w:val="single"/>
              </w:rPr>
              <w:t>2</w:t>
            </w:r>
            <w:r>
              <w:rPr>
                <w:rFonts w:hint="default" w:ascii="Times New Roman" w:hAnsi="Times New Roman" w:eastAsia="宋体" w:cs="Times New Roman"/>
                <w:color w:val="auto"/>
                <w:szCs w:val="21"/>
                <w:highlight w:val="none"/>
                <w:u w:val="single"/>
                <w:lang w:val="en-US" w:eastAsia="zh-CN"/>
              </w:rPr>
              <w:t>5</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Cs w:val="21"/>
                <w:highlight w:val="none"/>
                <w:u w:val="single"/>
                <w:lang w:val="en-US" w:eastAsia="zh-CN"/>
              </w:rPr>
              <w:t>14.88</w:t>
            </w:r>
            <w:r>
              <w:rPr>
                <w:rFonts w:hint="default" w:ascii="Times New Roman" w:hAnsi="Times New Roman" w:eastAsia="宋体" w:cs="Times New Roman"/>
                <w:color w:val="auto"/>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553"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国民经济</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行业类别</w:t>
            </w:r>
          </w:p>
        </w:tc>
        <w:tc>
          <w:tcPr>
            <w:tcW w:w="1213" w:type="pct"/>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C3670 </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汽车零部件及配件制造</w:t>
            </w:r>
          </w:p>
        </w:tc>
        <w:tc>
          <w:tcPr>
            <w:tcW w:w="1473" w:type="pct"/>
            <w:noWrap w:val="0"/>
            <w:vAlign w:val="center"/>
          </w:tcPr>
          <w:p>
            <w:pPr>
              <w:adjustRightInd w:val="0"/>
              <w:snapToGrid w:val="0"/>
              <w:jc w:val="center"/>
              <w:rPr>
                <w:rFonts w:hint="default" w:ascii="Times New Roman" w:hAnsi="Times New Roman" w:eastAsia="宋体" w:cs="Times New Roman"/>
                <w:color w:val="auto"/>
                <w:szCs w:val="21"/>
                <w:highlight w:val="none"/>
              </w:rPr>
            </w:pPr>
            <w:bookmarkStart w:id="3" w:name="_Hlk49843745"/>
            <w:r>
              <w:rPr>
                <w:rFonts w:hint="default" w:ascii="Times New Roman" w:hAnsi="Times New Roman" w:eastAsia="宋体" w:cs="Times New Roman"/>
                <w:color w:val="auto"/>
                <w:szCs w:val="21"/>
                <w:highlight w:val="none"/>
              </w:rPr>
              <w:t>建设项目</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行业类别</w:t>
            </w:r>
            <w:bookmarkEnd w:id="3"/>
          </w:p>
        </w:tc>
        <w:tc>
          <w:tcPr>
            <w:tcW w:w="1761" w:type="pct"/>
            <w:noWrap w:val="0"/>
            <w:vAlign w:val="center"/>
          </w:tcPr>
          <w:p>
            <w:pP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三十三、汽车制造业 </w:t>
            </w:r>
          </w:p>
          <w:p>
            <w:pPr>
              <w:adjustRightInd w:val="0"/>
              <w:snapToGrid w:val="0"/>
              <w:ind w:left="105" w:hanging="105" w:hangingChars="5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71 汽车零部件及配件制造367“其他”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08" w:hRule="atLeast"/>
          <w:jc w:val="center"/>
        </w:trPr>
        <w:tc>
          <w:tcPr>
            <w:tcW w:w="553"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建设性质</w:t>
            </w:r>
          </w:p>
        </w:tc>
        <w:tc>
          <w:tcPr>
            <w:tcW w:w="1213" w:type="pct"/>
            <w:noWrap w:val="0"/>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sym w:font="Wingdings 2" w:char="00A3"/>
            </w:r>
            <w:r>
              <w:rPr>
                <w:rFonts w:hint="default" w:ascii="Times New Roman" w:hAnsi="Times New Roman" w:eastAsia="宋体" w:cs="Times New Roman"/>
                <w:color w:val="auto"/>
                <w:szCs w:val="21"/>
                <w:highlight w:val="none"/>
              </w:rPr>
              <w:t>新建（迁建）</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改建</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扩建</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52"/>
            </w:r>
            <w:r>
              <w:rPr>
                <w:rFonts w:hint="default" w:ascii="Times New Roman" w:hAnsi="Times New Roman" w:eastAsia="宋体" w:cs="Times New Roman"/>
                <w:color w:val="auto"/>
                <w:szCs w:val="21"/>
                <w:highlight w:val="none"/>
              </w:rPr>
              <w:t>技术改造</w:t>
            </w:r>
          </w:p>
        </w:tc>
        <w:tc>
          <w:tcPr>
            <w:tcW w:w="1473"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申报情形</w:t>
            </w:r>
          </w:p>
        </w:tc>
        <w:tc>
          <w:tcPr>
            <w:tcW w:w="1761" w:type="pct"/>
            <w:noWrap w:val="0"/>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☑首次申报项目             </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□不予批准后再次申报项目</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 xml:space="preserve">超五年重新审核项目     </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9" w:hRule="atLeast"/>
          <w:jc w:val="center"/>
        </w:trPr>
        <w:tc>
          <w:tcPr>
            <w:tcW w:w="553"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项目审批（核准/备案）部门</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（选填）</w:t>
            </w:r>
          </w:p>
        </w:tc>
        <w:tc>
          <w:tcPr>
            <w:tcW w:w="1213"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新吴区行政审批局</w:t>
            </w:r>
          </w:p>
        </w:tc>
        <w:tc>
          <w:tcPr>
            <w:tcW w:w="1473"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项目审批（核准/</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备案）文号（选填）</w:t>
            </w:r>
          </w:p>
        </w:tc>
        <w:tc>
          <w:tcPr>
            <w:tcW w:w="1761"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锡新行审投备〔202</w:t>
            </w:r>
            <w:r>
              <w:rPr>
                <w:rFonts w:hint="eastAsia" w:cs="Times New Roman"/>
                <w:color w:val="auto"/>
                <w:szCs w:val="21"/>
                <w:highlight w:val="none"/>
                <w:lang w:val="en-US" w:eastAsia="zh-CN"/>
              </w:rPr>
              <w:t>0</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1127</w:t>
            </w:r>
            <w:r>
              <w:rPr>
                <w:rFonts w:hint="default" w:ascii="Times New Roman" w:hAnsi="Times New Roman" w:eastAsia="宋体" w:cs="Times New Roman"/>
                <w:color w:val="auto"/>
                <w:szCs w:val="21"/>
                <w:highlight w:val="non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553"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总投资</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（万元）</w:t>
            </w:r>
          </w:p>
        </w:tc>
        <w:tc>
          <w:tcPr>
            <w:tcW w:w="121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3100</w:t>
            </w:r>
          </w:p>
        </w:tc>
        <w:tc>
          <w:tcPr>
            <w:tcW w:w="1473"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环保投资（万元）</w:t>
            </w:r>
          </w:p>
        </w:tc>
        <w:tc>
          <w:tcPr>
            <w:tcW w:w="1761"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553"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环保投资占比（%）</w:t>
            </w:r>
          </w:p>
        </w:tc>
        <w:tc>
          <w:tcPr>
            <w:tcW w:w="121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3.2</w:t>
            </w:r>
            <w:r>
              <w:rPr>
                <w:rFonts w:hint="default" w:ascii="Times New Roman" w:hAnsi="Times New Roman" w:eastAsia="宋体" w:cs="Times New Roman"/>
                <w:color w:val="auto"/>
                <w:szCs w:val="21"/>
                <w:highlight w:val="none"/>
                <w:lang w:val="en-US" w:eastAsia="zh-CN"/>
              </w:rPr>
              <w:t>%</w:t>
            </w:r>
          </w:p>
        </w:tc>
        <w:tc>
          <w:tcPr>
            <w:tcW w:w="1473"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施工工期</w:t>
            </w:r>
          </w:p>
        </w:tc>
        <w:tc>
          <w:tcPr>
            <w:tcW w:w="1761"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rPr>
              <w:t>年</w:t>
            </w:r>
            <w:r>
              <w:rPr>
                <w:rFonts w:hint="eastAsia" w:cs="Times New Roman"/>
                <w:color w:val="auto"/>
                <w:szCs w:val="21"/>
                <w:highlight w:val="none"/>
                <w:lang w:val="en-US" w:eastAsia="zh-CN"/>
              </w:rPr>
              <w:t>4</w:t>
            </w:r>
            <w:r>
              <w:rPr>
                <w:rFonts w:hint="default" w:ascii="Times New Roman" w:hAnsi="Times New Roman" w:eastAsia="宋体" w:cs="Times New Roman"/>
                <w:color w:val="auto"/>
                <w:szCs w:val="21"/>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553"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是否开工建设</w:t>
            </w:r>
          </w:p>
        </w:tc>
        <w:tc>
          <w:tcPr>
            <w:tcW w:w="1213" w:type="pct"/>
            <w:noWrap w:val="0"/>
            <w:vAlign w:val="center"/>
          </w:tcPr>
          <w:p>
            <w:pP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☑否</w:t>
            </w:r>
          </w:p>
          <w:p>
            <w:pP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是：</w:t>
            </w:r>
          </w:p>
        </w:tc>
        <w:tc>
          <w:tcPr>
            <w:tcW w:w="1473"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6"/>
                <w:szCs w:val="21"/>
                <w:highlight w:val="none"/>
              </w:rPr>
              <w:t>用地面积（m</w:t>
            </w:r>
            <w:r>
              <w:rPr>
                <w:rFonts w:hint="default" w:ascii="Times New Roman" w:hAnsi="Times New Roman" w:eastAsia="宋体" w:cs="Times New Roman"/>
                <w:color w:val="auto"/>
                <w:spacing w:val="-6"/>
                <w:szCs w:val="21"/>
                <w:highlight w:val="none"/>
                <w:vertAlign w:val="superscript"/>
              </w:rPr>
              <w:t>2</w:t>
            </w:r>
            <w:r>
              <w:rPr>
                <w:rFonts w:hint="default" w:ascii="Times New Roman" w:hAnsi="Times New Roman" w:eastAsia="宋体" w:cs="Times New Roman"/>
                <w:color w:val="auto"/>
                <w:spacing w:val="-6"/>
                <w:szCs w:val="21"/>
                <w:highlight w:val="none"/>
              </w:rPr>
              <w:t>）</w:t>
            </w:r>
          </w:p>
        </w:tc>
        <w:tc>
          <w:tcPr>
            <w:tcW w:w="1761"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250</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原有厂房，自有</w:t>
            </w:r>
            <w:r>
              <w:rPr>
                <w:rFonts w:hint="default" w:ascii="Times New Roman" w:hAnsi="Times New Roman" w:eastAsia="宋体"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53"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专项评价设置情况</w:t>
            </w:r>
          </w:p>
        </w:tc>
        <w:tc>
          <w:tcPr>
            <w:tcW w:w="4447" w:type="pct"/>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553"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规划情况</w:t>
            </w:r>
          </w:p>
        </w:tc>
        <w:tc>
          <w:tcPr>
            <w:tcW w:w="4447" w:type="pct"/>
            <w:gridSpan w:val="3"/>
            <w:noWrap w:val="0"/>
            <w:vAlign w:val="center"/>
          </w:tcPr>
          <w:p>
            <w:pPr>
              <w:autoSpaceDE/>
              <w:autoSpaceDN/>
              <w:adjustRightInd w:val="0"/>
              <w:snapToGrid w:val="0"/>
              <w:spacing w:line="360" w:lineRule="auto"/>
              <w:jc w:val="left"/>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规划文件名称：《</w:t>
            </w:r>
            <w:r>
              <w:rPr>
                <w:rFonts w:hint="default" w:ascii="Times New Roman" w:hAnsi="Times New Roman" w:eastAsia="宋体" w:cs="Times New Roman"/>
                <w:color w:val="auto"/>
                <w:kern w:val="2"/>
                <w:sz w:val="21"/>
                <w:szCs w:val="21"/>
                <w:highlight w:val="none"/>
                <w:lang w:val="en-US" w:eastAsia="zh-CN"/>
              </w:rPr>
              <w:t>无锡新区总体发展规划（2005~2020）</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锡规[2006]40号）</w:t>
            </w:r>
          </w:p>
          <w:p>
            <w:pPr>
              <w:autoSpaceDE/>
              <w:autoSpaceDN/>
              <w:adjustRightInd w:val="0"/>
              <w:snapToGrid w:val="0"/>
              <w:spacing w:line="360" w:lineRule="auto"/>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审批机关：无锡市人民政府</w:t>
            </w:r>
          </w:p>
          <w:p>
            <w:pPr>
              <w:autoSpaceDE/>
              <w:autoSpaceDN/>
              <w:adjustRightInd w:val="0"/>
              <w:snapToGrid w:val="0"/>
              <w:spacing w:line="360" w:lineRule="auto"/>
              <w:jc w:val="left"/>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审批文件名称及文号：</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市政府关于无锡新区总体发展规划（2005~2020）的批复》（锡政发[2006]294号）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4" w:hRule="atLeast"/>
          <w:jc w:val="center"/>
        </w:trPr>
        <w:tc>
          <w:tcPr>
            <w:tcW w:w="55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规划环境影响评价情况</w:t>
            </w:r>
          </w:p>
        </w:tc>
        <w:tc>
          <w:tcPr>
            <w:tcW w:w="4447" w:type="pct"/>
            <w:gridSpan w:val="3"/>
            <w:noWrap w:val="0"/>
            <w:vAlign w:val="center"/>
          </w:tcPr>
          <w:p>
            <w:pPr>
              <w:autoSpaceDE/>
              <w:autoSpaceDN/>
              <w:adjustRightInd w:val="0"/>
              <w:snapToGrid w:val="0"/>
              <w:spacing w:line="360" w:lineRule="auto"/>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（1）规划环评：《无锡国家高新技术产业开发区发展规划环境影响报告书》，于2009年12月1日取得了中华人民共和国环境保护部的审查意见（环审〔2009〕513号）。</w:t>
            </w:r>
          </w:p>
          <w:p>
            <w:pPr>
              <w:autoSpaceDE/>
              <w:autoSpaceDN/>
              <w:adjustRightInd w:val="0"/>
              <w:snapToGrid w:val="0"/>
              <w:spacing w:line="360" w:lineRule="auto"/>
              <w:jc w:val="left"/>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（2）规划环评跟踪评价：《无锡国家高新技术产业开发区发展规划环境影响跟踪评价报告书》于2017年7月14日取得中华人民共和国环境保护部的审查意见（环办环评函〔2017〕1122号）。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61" w:hRule="atLeast"/>
          <w:jc w:val="center"/>
        </w:trPr>
        <w:tc>
          <w:tcPr>
            <w:tcW w:w="553" w:type="pct"/>
            <w:noWrap w:val="0"/>
            <w:vAlign w:val="center"/>
          </w:tcPr>
          <w:p>
            <w:pPr>
              <w:autoSpaceDE w:val="0"/>
              <w:autoSpaceDN w:val="0"/>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规划及规划环境影响评价符合性分析</w:t>
            </w:r>
          </w:p>
        </w:tc>
        <w:tc>
          <w:tcPr>
            <w:tcW w:w="4447" w:type="pct"/>
            <w:gridSpan w:val="3"/>
            <w:noWrap w:val="0"/>
            <w:vAlign w:val="center"/>
          </w:tcPr>
          <w:p>
            <w:pPr>
              <w:autoSpaceDE w:val="0"/>
              <w:autoSpaceDN w:val="0"/>
              <w:adjustRightInd w:val="0"/>
              <w:snapToGrid w:val="0"/>
              <w:spacing w:line="500" w:lineRule="exact"/>
              <w:ind w:lef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1、土地利用规划相符性：</w:t>
            </w:r>
          </w:p>
          <w:p>
            <w:pPr>
              <w:autoSpaceDE w:val="0"/>
              <w:autoSpaceDN w:val="0"/>
              <w:adjustRightInd w:val="0"/>
              <w:snapToGrid w:val="0"/>
              <w:spacing w:line="50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本项目位于</w:t>
            </w:r>
            <w:r>
              <w:rPr>
                <w:rFonts w:hint="default" w:ascii="Times New Roman" w:hAnsi="Times New Roman" w:eastAsia="宋体" w:cs="Times New Roman"/>
                <w:color w:val="auto"/>
                <w:sz w:val="24"/>
                <w:highlight w:val="none"/>
              </w:rPr>
              <w:t>无锡市新吴区</w:t>
            </w:r>
            <w:r>
              <w:rPr>
                <w:rFonts w:hint="default" w:ascii="Times New Roman" w:hAnsi="Times New Roman" w:eastAsia="宋体" w:cs="Times New Roman"/>
                <w:color w:val="auto"/>
                <w:kern w:val="0"/>
                <w:sz w:val="24"/>
                <w:highlight w:val="none"/>
              </w:rPr>
              <w:t>新华路17号，根据《市政府关于无锡新区高新区A区控制性详细规划A南-光伏管理单元动态更新的批复》（锡政复〔2018〕54号）及其更新后的土地利用规划图，本项目所在地为规划中的工业用地。且本项目位于工业集中区域内，</w:t>
            </w:r>
            <w:r>
              <w:rPr>
                <w:rFonts w:hint="default" w:ascii="Times New Roman" w:hAnsi="Times New Roman" w:eastAsia="宋体" w:cs="Times New Roman"/>
                <w:color w:val="auto"/>
                <w:sz w:val="24"/>
                <w:highlight w:val="none"/>
              </w:rPr>
              <w:t>具备污染集中控制条件。</w:t>
            </w:r>
          </w:p>
          <w:p>
            <w:pPr>
              <w:autoSpaceDE w:val="0"/>
              <w:autoSpaceDN w:val="0"/>
              <w:adjustRightInd w:val="0"/>
              <w:snapToGrid w:val="0"/>
              <w:spacing w:line="50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本项目地理位置详见附图1，周围环境详见附图2，用地规划详见附图3。</w:t>
            </w:r>
          </w:p>
          <w:p>
            <w:pPr>
              <w:autoSpaceDE w:val="0"/>
              <w:autoSpaceDN w:val="0"/>
              <w:adjustRightInd w:val="0"/>
              <w:snapToGrid w:val="0"/>
              <w:spacing w:line="50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2、园区产业政策相符性分析：</w:t>
            </w:r>
          </w:p>
          <w:p>
            <w:pPr>
              <w:autoSpaceDE w:val="0"/>
              <w:autoSpaceDN w:val="0"/>
              <w:adjustRightInd w:val="0"/>
              <w:snapToGrid w:val="0"/>
              <w:spacing w:line="500" w:lineRule="exact"/>
              <w:ind w:left="0"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无锡新区高新产业技术开发区重点发展电子信息、光机电、生物工程及医疗、精细化工、新材料等高新技术产业。本项目进行汽车零部件的生产制造，符合园区产业定位。</w:t>
            </w:r>
          </w:p>
          <w:p>
            <w:pPr>
              <w:autoSpaceDE w:val="0"/>
              <w:autoSpaceDN w:val="0"/>
              <w:adjustRightInd w:val="0"/>
              <w:snapToGrid w:val="0"/>
              <w:spacing w:line="500" w:lineRule="exact"/>
              <w:ind w:left="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3、产业政策相符性分析：</w:t>
            </w:r>
          </w:p>
          <w:p>
            <w:pPr>
              <w:adjustRightInd w:val="0"/>
              <w:snapToGrid w:val="0"/>
              <w:spacing w:line="500" w:lineRule="exact"/>
              <w:ind w:firstLine="480" w:firstLineChars="200"/>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bCs/>
                <w:color w:val="auto"/>
                <w:sz w:val="24"/>
                <w:highlight w:val="none"/>
              </w:rPr>
              <w:t>原料、生产设备、产品均</w:t>
            </w:r>
            <w:r>
              <w:rPr>
                <w:rFonts w:hint="default" w:ascii="Times New Roman" w:hAnsi="Times New Roman" w:eastAsia="宋体" w:cs="Times New Roman"/>
                <w:color w:val="auto"/>
                <w:sz w:val="24"/>
                <w:highlight w:val="none"/>
              </w:rPr>
              <w:t>不属于《产业结构调整指导目录》</w:t>
            </w:r>
            <w:r>
              <w:rPr>
                <w:rFonts w:hint="eastAsia" w:cs="Times New Roman"/>
                <w:color w:val="auto"/>
                <w:sz w:val="24"/>
                <w:highlight w:val="none"/>
                <w:lang w:eastAsia="zh-CN"/>
              </w:rPr>
              <w:t>（</w:t>
            </w:r>
            <w:r>
              <w:rPr>
                <w:rFonts w:hint="eastAsia" w:cs="Times New Roman"/>
                <w:color w:val="auto"/>
                <w:sz w:val="24"/>
                <w:highlight w:val="none"/>
                <w:lang w:val="en-US" w:eastAsia="zh-CN"/>
              </w:rPr>
              <w:t>2021年修订版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中的限制类和禁止类，不属于《外商投资产业指导目录》（2017年修订）中的限制类和禁止类，不属于</w:t>
            </w:r>
            <w:r>
              <w:rPr>
                <w:rFonts w:hint="default" w:ascii="Times New Roman" w:hAnsi="Times New Roman" w:eastAsia="宋体" w:cs="Times New Roman"/>
                <w:bCs/>
                <w:color w:val="auto"/>
                <w:sz w:val="24"/>
                <w:highlight w:val="none"/>
              </w:rPr>
              <w:t>《江苏省工业和信息产业结构调整指导目录（2012年本）》（苏经信产业[2013]183号）中限制类和淘汰类；不属于《江苏省转型发展投资指导目录》（苏发改投资发〔2012〕1654号）、《江苏省工业和信息产业结构调整限值、淘汰目录和能耗限额》（2015年本）（苏政办发[2015]118号）和《无锡市转型发展投资指导目录》（锡发改资〔2013〕5号）</w:t>
            </w:r>
            <w:r>
              <w:rPr>
                <w:rFonts w:hint="default" w:ascii="Times New Roman" w:hAnsi="Times New Roman" w:eastAsia="宋体" w:cs="Times New Roman"/>
                <w:color w:val="auto"/>
                <w:sz w:val="24"/>
                <w:highlight w:val="none"/>
              </w:rPr>
              <w:t>、《无锡新区转型发展投资指导目录》（锡新管经发[2013]56号）</w:t>
            </w:r>
            <w:r>
              <w:rPr>
                <w:rFonts w:hint="default" w:ascii="Times New Roman" w:hAnsi="Times New Roman" w:eastAsia="宋体" w:cs="Times New Roman"/>
                <w:bCs/>
                <w:color w:val="auto"/>
                <w:sz w:val="24"/>
                <w:highlight w:val="none"/>
              </w:rPr>
              <w:t>中的限制类和淘汰类，</w:t>
            </w:r>
            <w:r>
              <w:rPr>
                <w:rFonts w:hint="default" w:ascii="Times New Roman" w:hAnsi="Times New Roman" w:eastAsia="宋体" w:cs="Times New Roman"/>
                <w:color w:val="auto"/>
                <w:sz w:val="24"/>
                <w:highlight w:val="none"/>
              </w:rPr>
              <w:t>属于允许类项目。且本项目不在《外商投资准入特别管理措施》（负面清单，2020年版）、《限制用地项目目录（2012年本）》、《禁止用地项目目录（2012年本）》、《江苏省限制用地项目目录(2013年本)》、《江苏省禁止用地项目目录(2013年本)》中。</w:t>
            </w:r>
          </w:p>
          <w:p>
            <w:pPr>
              <w:pStyle w:val="2"/>
              <w:keepNext w:val="0"/>
              <w:keepLines w:val="0"/>
              <w:pageBreakBefore w:val="0"/>
              <w:widowControl/>
              <w:kinsoku/>
              <w:wordWrap/>
              <w:overflowPunct/>
              <w:topLinePunct w:val="0"/>
              <w:autoSpaceDE/>
              <w:autoSpaceDN/>
              <w:bidi w:val="0"/>
              <w:adjustRightInd/>
              <w:snapToGrid w:val="0"/>
              <w:spacing w:before="0" w:after="0" w:line="500" w:lineRule="exact"/>
              <w:ind w:right="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eastAsia="zh-CN" w:bidi="ar-SA"/>
              </w:rPr>
              <w:t xml:space="preserve">    </w:t>
            </w:r>
            <w:r>
              <w:rPr>
                <w:rFonts w:hint="default" w:ascii="Times New Roman" w:hAnsi="Times New Roman" w:eastAsia="宋体" w:cs="Times New Roman"/>
                <w:bCs/>
                <w:color w:val="auto"/>
                <w:kern w:val="2"/>
                <w:sz w:val="24"/>
                <w:szCs w:val="24"/>
                <w:highlight w:val="none"/>
                <w:lang w:val="en-US" w:eastAsia="zh-CN" w:bidi="ar-SA"/>
              </w:rPr>
              <w:t>本项目的行业代码为C</w:t>
            </w:r>
            <w:r>
              <w:rPr>
                <w:rFonts w:hint="default" w:ascii="Times New Roman" w:hAnsi="Times New Roman" w:eastAsia="宋体" w:cs="Times New Roman"/>
                <w:bCs/>
                <w:color w:val="auto"/>
                <w:kern w:val="2"/>
                <w:sz w:val="24"/>
                <w:szCs w:val="24"/>
                <w:highlight w:val="none"/>
                <w:lang w:eastAsia="zh-CN" w:bidi="ar-SA"/>
              </w:rPr>
              <w:t xml:space="preserve">3670 </w:t>
            </w:r>
            <w:r>
              <w:rPr>
                <w:rFonts w:hint="default" w:ascii="Times New Roman" w:hAnsi="Times New Roman" w:eastAsia="宋体" w:cs="Times New Roman"/>
                <w:bCs/>
                <w:color w:val="auto"/>
                <w:kern w:val="2"/>
                <w:sz w:val="24"/>
                <w:szCs w:val="24"/>
                <w:highlight w:val="none"/>
                <w:lang w:val="en-US" w:eastAsia="zh-Hans" w:bidi="ar-SA"/>
              </w:rPr>
              <w:t>汽车零部件及配件制造</w:t>
            </w:r>
            <w:r>
              <w:rPr>
                <w:rFonts w:hint="default" w:ascii="Times New Roman" w:hAnsi="Times New Roman" w:eastAsia="宋体" w:cs="Times New Roman"/>
                <w:bCs/>
                <w:color w:val="auto"/>
                <w:kern w:val="2"/>
                <w:sz w:val="24"/>
                <w:szCs w:val="24"/>
                <w:highlight w:val="none"/>
                <w:lang w:val="en-US" w:eastAsia="zh-CN" w:bidi="ar-SA"/>
              </w:rPr>
              <w:t>，不属于《环境保护综合名录》（2021年版）中“高污染、高环境风险产品名录”，亦不属于高耗能行业；符合《关于加强高耗能、高排放建设项目生态环境源头防控的指导意见》中相关要求。综上，本项目属符合国家和地方的产业政策。</w:t>
            </w:r>
          </w:p>
          <w:p>
            <w:pPr>
              <w:adjustRightInd w:val="0"/>
              <w:snapToGrid w:val="0"/>
              <w:spacing w:line="500" w:lineRule="exact"/>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综上，本项目符合国家和地方产业政策。</w:t>
            </w:r>
          </w:p>
          <w:p>
            <w:pPr>
              <w:numPr>
                <w:ilvl w:val="0"/>
                <w:numId w:val="2"/>
              </w:numPr>
              <w:autoSpaceDE w:val="0"/>
              <w:autoSpaceDN w:val="0"/>
              <w:adjustRightInd w:val="0"/>
              <w:snapToGrid w:val="0"/>
              <w:spacing w:line="500" w:lineRule="exact"/>
              <w:ind w:left="0" w:firstLine="424"/>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规划环评相符性分析：</w:t>
            </w:r>
          </w:p>
          <w:p>
            <w:pPr>
              <w:numPr>
                <w:ilvl w:val="0"/>
                <w:numId w:val="3"/>
              </w:numPr>
              <w:autoSpaceDE w:val="0"/>
              <w:autoSpaceDN w:val="0"/>
              <w:adjustRightInd w:val="0"/>
              <w:snapToGrid w:val="0"/>
              <w:spacing w:line="500" w:lineRule="exact"/>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规划环评及审查意见</w:t>
            </w:r>
            <w:r>
              <w:rPr>
                <w:rFonts w:hint="default" w:ascii="Times New Roman" w:hAnsi="Times New Roman" w:eastAsia="宋体" w:cs="Times New Roman"/>
                <w:color w:val="auto"/>
                <w:kern w:val="0"/>
                <w:sz w:val="24"/>
                <w:highlight w:val="none"/>
                <w:lang w:val="en-US" w:eastAsia="zh-CN"/>
              </w:rPr>
              <w:t>相符性分析</w:t>
            </w:r>
          </w:p>
          <w:p>
            <w:pPr>
              <w:autoSpaceDE w:val="0"/>
              <w:autoSpaceDN w:val="0"/>
              <w:adjustRightInd w:val="0"/>
              <w:snapToGrid w:val="0"/>
              <w:spacing w:line="500" w:lineRule="exact"/>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表1-1   本项目与规划环评审查意见的对照表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616"/>
              <w:gridCol w:w="3241"/>
              <w:gridCol w:w="3087"/>
              <w:gridCol w:w="92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9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序号</w:t>
                  </w:r>
                </w:p>
              </w:tc>
              <w:tc>
                <w:tcPr>
                  <w:tcW w:w="2058"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审查意见</w:t>
                  </w:r>
                </w:p>
              </w:tc>
              <w:tc>
                <w:tcPr>
                  <w:tcW w:w="1960"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本项目情况</w:t>
                  </w:r>
                </w:p>
              </w:tc>
              <w:tc>
                <w:tcPr>
                  <w:tcW w:w="589"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相符性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224" w:hRule="atLeast"/>
                <w:jc w:val="center"/>
              </w:trPr>
              <w:tc>
                <w:tcPr>
                  <w:tcW w:w="391" w:type="pct"/>
                  <w:noWrap w:val="0"/>
                  <w:vAlign w:val="center"/>
                </w:tcPr>
                <w:p>
                  <w:pPr>
                    <w:autoSpaceDE w:val="0"/>
                    <w:autoSpaceDN w:val="0"/>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2058" w:type="pct"/>
                  <w:noWrap w:val="0"/>
                  <w:vAlign w:val="center"/>
                </w:tcPr>
                <w:p>
                  <w:pPr>
                    <w:autoSpaceDE w:val="0"/>
                    <w:autoSpaceDN w:val="0"/>
                    <w:adjustRightInd w:val="0"/>
                    <w:snapToGrid w:val="0"/>
                    <w:ind w:firstLine="420" w:firstLineChars="2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进一步优化调整区内功能布局。高新区规划A 区内不宜新布局排放硫酸雾的企业。优化新洲生态园和城铁站前社区等集中居住区周围的工业布局，避免对居民生活环境质量和人群产生影响。</w:t>
                  </w:r>
                </w:p>
              </w:tc>
              <w:tc>
                <w:tcPr>
                  <w:tcW w:w="1960" w:type="pct"/>
                  <w:noWrap w:val="0"/>
                  <w:vAlign w:val="center"/>
                </w:tcPr>
                <w:p>
                  <w:pPr>
                    <w:autoSpaceDE w:val="0"/>
                    <w:autoSpaceDN w:val="0"/>
                    <w:adjustRightInd w:val="0"/>
                    <w:snapToGrid w:val="0"/>
                    <w:ind w:firstLine="420" w:firstLineChars="2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本项目位于新华路17号，属于高新A区，不产生硫酸雾。周围500米范围内无环境敏感目标。本项目各污染物落实防治措施后，对周围影响较小。</w:t>
                  </w:r>
                </w:p>
              </w:tc>
              <w:tc>
                <w:tcPr>
                  <w:tcW w:w="589"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91" w:type="pct"/>
                  <w:noWrap w:val="0"/>
                  <w:vAlign w:val="center"/>
                </w:tcPr>
                <w:p>
                  <w:pPr>
                    <w:autoSpaceDE w:val="0"/>
                    <w:autoSpaceDN w:val="0"/>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2058" w:type="pct"/>
                  <w:noWrap w:val="0"/>
                  <w:vAlign w:val="center"/>
                </w:tcPr>
                <w:p>
                  <w:pPr>
                    <w:autoSpaceDE w:val="0"/>
                    <w:autoSpaceDN w:val="0"/>
                    <w:adjustRightInd w:val="0"/>
                    <w:snapToGrid w:val="0"/>
                    <w:ind w:firstLine="420" w:firstLineChars="2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进一步升级改造产业结构。根据规划发展目标和产业导向要求，加快推进污染企业的布局调整，升级改造和污染整治，严格入区项目环境准入，严格遵守国家产业政策，太湖流域污染防治规定。</w:t>
                  </w:r>
                </w:p>
              </w:tc>
              <w:tc>
                <w:tcPr>
                  <w:tcW w:w="1960" w:type="pct"/>
                  <w:noWrap w:val="0"/>
                  <w:vAlign w:val="center"/>
                </w:tcPr>
                <w:p>
                  <w:pPr>
                    <w:autoSpaceDE w:val="0"/>
                    <w:autoSpaceDN w:val="0"/>
                    <w:adjustRightInd w:val="0"/>
                    <w:snapToGrid w:val="0"/>
                    <w:ind w:firstLine="420" w:firstLineChars="2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本项目符合高新区产业定位。本项目</w:t>
                  </w:r>
                  <w:r>
                    <w:rPr>
                      <w:rFonts w:hint="eastAsia" w:cs="Times New Roman"/>
                      <w:color w:val="auto"/>
                      <w:kern w:val="0"/>
                      <w:sz w:val="21"/>
                      <w:szCs w:val="21"/>
                      <w:highlight w:val="none"/>
                      <w:lang w:val="en-US" w:eastAsia="zh-CN"/>
                    </w:rPr>
                    <w:t>无废气产生</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本项目新增工艺废水经厂内污水处理站处理</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制纯废水经厂内</w:t>
                  </w:r>
                  <w:r>
                    <w:rPr>
                      <w:rFonts w:hint="eastAsia" w:cs="Times New Roman"/>
                      <w:color w:val="auto"/>
                      <w:sz w:val="21"/>
                      <w:szCs w:val="21"/>
                      <w:highlight w:val="none"/>
                      <w:lang w:val="en-US" w:eastAsia="zh-CN"/>
                    </w:rPr>
                    <w:t>中水回用系统</w:t>
                  </w:r>
                  <w:r>
                    <w:rPr>
                      <w:rFonts w:hint="eastAsia" w:cs="Times New Roman"/>
                      <w:color w:val="auto"/>
                      <w:kern w:val="0"/>
                      <w:sz w:val="21"/>
                      <w:szCs w:val="21"/>
                      <w:highlight w:val="none"/>
                      <w:lang w:val="en-US" w:eastAsia="zh-CN"/>
                    </w:rPr>
                    <w:t>处理后均</w:t>
                  </w:r>
                  <w:r>
                    <w:rPr>
                      <w:rFonts w:hint="default" w:ascii="Times New Roman" w:hAnsi="Times New Roman" w:eastAsia="宋体" w:cs="Times New Roman"/>
                      <w:color w:val="auto"/>
                      <w:kern w:val="0"/>
                      <w:sz w:val="21"/>
                      <w:szCs w:val="21"/>
                      <w:highlight w:val="none"/>
                    </w:rPr>
                    <w:t>回用于中水冷却塔，零排放。新增生活污水经预处理后与</w:t>
                  </w:r>
                  <w:r>
                    <w:rPr>
                      <w:rFonts w:hint="eastAsia" w:cs="Times New Roman"/>
                      <w:color w:val="auto"/>
                      <w:kern w:val="0"/>
                      <w:sz w:val="21"/>
                      <w:szCs w:val="21"/>
                      <w:highlight w:val="none"/>
                      <w:lang w:val="en-US" w:eastAsia="zh-CN"/>
                    </w:rPr>
                    <w:t>制软水废水</w:t>
                  </w:r>
                  <w:r>
                    <w:rPr>
                      <w:rFonts w:hint="default" w:ascii="Times New Roman" w:hAnsi="Times New Roman" w:eastAsia="宋体" w:cs="Times New Roman"/>
                      <w:color w:val="auto"/>
                      <w:kern w:val="0"/>
                      <w:sz w:val="21"/>
                      <w:szCs w:val="21"/>
                      <w:highlight w:val="none"/>
                    </w:rPr>
                    <w:t>接管新城水处理厂集中处理，固废妥善处置，符合国家产业政策及太湖流域污染防治规定。</w:t>
                  </w:r>
                </w:p>
              </w:tc>
              <w:tc>
                <w:tcPr>
                  <w:tcW w:w="589"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9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2058" w:type="pct"/>
                  <w:noWrap w:val="0"/>
                  <w:vAlign w:val="center"/>
                </w:tcPr>
                <w:p>
                  <w:pPr>
                    <w:autoSpaceDE w:val="0"/>
                    <w:autoSpaceDN w:val="0"/>
                    <w:adjustRightInd w:val="0"/>
                    <w:ind w:firstLine="420" w:firstLineChars="2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抓紧制定硫酸影响大气环境质量和重金属废水污染河道底泥的综合整治方案，作为规划实施的重要内容。提高工业废气排放企业和重金属废水排放企业的清洁生产水平。</w:t>
                  </w:r>
                </w:p>
              </w:tc>
              <w:tc>
                <w:tcPr>
                  <w:tcW w:w="1960" w:type="pct"/>
                  <w:noWrap w:val="0"/>
                  <w:vAlign w:val="center"/>
                </w:tcPr>
                <w:p>
                  <w:pPr>
                    <w:autoSpaceDE w:val="0"/>
                    <w:autoSpaceDN w:val="0"/>
                    <w:adjustRightInd w:val="0"/>
                    <w:snapToGrid w:val="0"/>
                    <w:ind w:firstLine="420" w:firstLineChars="2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本项目无硫酸雾产生，不涉及重金属废水，</w:t>
                  </w:r>
                  <w:r>
                    <w:rPr>
                      <w:rFonts w:hint="eastAsia" w:cs="Times New Roman"/>
                      <w:color w:val="auto"/>
                      <w:kern w:val="0"/>
                      <w:szCs w:val="21"/>
                      <w:highlight w:val="none"/>
                      <w:lang w:val="en-US" w:eastAsia="zh-CN"/>
                    </w:rPr>
                    <w:t>无废气产生</w:t>
                  </w:r>
                  <w:r>
                    <w:rPr>
                      <w:rFonts w:hint="default" w:ascii="Times New Roman" w:hAnsi="Times New Roman" w:eastAsia="宋体" w:cs="Times New Roman"/>
                      <w:color w:val="auto"/>
                      <w:kern w:val="0"/>
                      <w:szCs w:val="21"/>
                      <w:highlight w:val="none"/>
                    </w:rPr>
                    <w:t>，提高企业的清洁生产水平。</w:t>
                  </w:r>
                </w:p>
              </w:tc>
              <w:tc>
                <w:tcPr>
                  <w:tcW w:w="589"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91" w:type="pct"/>
                  <w:noWrap w:val="0"/>
                  <w:vAlign w:val="center"/>
                </w:tcPr>
                <w:p>
                  <w:pPr>
                    <w:autoSpaceDE w:val="0"/>
                    <w:autoSpaceDN w:val="0"/>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2058" w:type="pct"/>
                  <w:noWrap w:val="0"/>
                  <w:vAlign w:val="center"/>
                </w:tcPr>
                <w:p>
                  <w:pPr>
                    <w:autoSpaceDE w:val="0"/>
                    <w:autoSpaceDN w:val="0"/>
                    <w:adjustRightInd w:val="0"/>
                    <w:ind w:firstLine="420" w:firstLineChars="2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加快污水集中处理设施和中水回用设施的建设，提高水资源利用率。加强对开发区规划实施后的污水排放跟踪监测和管控。</w:t>
                  </w:r>
                </w:p>
              </w:tc>
              <w:tc>
                <w:tcPr>
                  <w:tcW w:w="1960" w:type="pct"/>
                  <w:noWrap w:val="0"/>
                  <w:vAlign w:val="center"/>
                </w:tcPr>
                <w:p>
                  <w:pPr>
                    <w:autoSpaceDE w:val="0"/>
                    <w:autoSpaceDN w:val="0"/>
                    <w:adjustRightInd w:val="0"/>
                    <w:snapToGrid w:val="0"/>
                    <w:ind w:firstLine="420" w:firstLineChars="2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highlight w:val="none"/>
                    </w:rPr>
                    <w:t>本项目新增工艺废水经厂内污水处理站处理</w:t>
                  </w:r>
                  <w:r>
                    <w:rPr>
                      <w:rFonts w:hint="eastAsia" w:cs="Times New Roman"/>
                      <w:color w:val="auto"/>
                      <w:kern w:val="0"/>
                      <w:highlight w:val="none"/>
                      <w:lang w:eastAsia="zh-CN"/>
                    </w:rPr>
                    <w:t>，</w:t>
                  </w:r>
                  <w:r>
                    <w:rPr>
                      <w:rFonts w:hint="eastAsia" w:cs="Times New Roman"/>
                      <w:color w:val="auto"/>
                      <w:kern w:val="0"/>
                      <w:highlight w:val="none"/>
                      <w:lang w:val="en-US" w:eastAsia="zh-CN"/>
                    </w:rPr>
                    <w:t>制纯废水经厂内中水回用系统处理后均</w:t>
                  </w:r>
                  <w:r>
                    <w:rPr>
                      <w:rFonts w:hint="default" w:ascii="Times New Roman" w:hAnsi="Times New Roman" w:eastAsia="宋体" w:cs="Times New Roman"/>
                      <w:color w:val="auto"/>
                      <w:kern w:val="0"/>
                      <w:highlight w:val="none"/>
                    </w:rPr>
                    <w:t>回用于中水冷却塔，零排放。新增生活污水经预处理后与</w:t>
                  </w:r>
                  <w:r>
                    <w:rPr>
                      <w:rFonts w:hint="eastAsia" w:cs="Times New Roman"/>
                      <w:color w:val="auto"/>
                      <w:kern w:val="0"/>
                      <w:highlight w:val="none"/>
                      <w:lang w:val="en-US" w:eastAsia="zh-CN"/>
                    </w:rPr>
                    <w:t>制软水废水</w:t>
                  </w:r>
                  <w:r>
                    <w:rPr>
                      <w:rFonts w:hint="default" w:ascii="Times New Roman" w:hAnsi="Times New Roman" w:eastAsia="宋体" w:cs="Times New Roman"/>
                      <w:color w:val="auto"/>
                      <w:kern w:val="0"/>
                      <w:highlight w:val="none"/>
                    </w:rPr>
                    <w:t>接管新城水处理厂集中处理。</w:t>
                  </w:r>
                </w:p>
              </w:tc>
              <w:tc>
                <w:tcPr>
                  <w:tcW w:w="589"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91" w:type="pct"/>
                  <w:noWrap w:val="0"/>
                  <w:vAlign w:val="center"/>
                </w:tcPr>
                <w:p>
                  <w:pPr>
                    <w:autoSpaceDE w:val="0"/>
                    <w:autoSpaceDN w:val="0"/>
                    <w:adjustRightIn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2058" w:type="pct"/>
                  <w:noWrap w:val="0"/>
                  <w:vAlign w:val="center"/>
                </w:tcPr>
                <w:p>
                  <w:pPr>
                    <w:autoSpaceDE w:val="0"/>
                    <w:autoSpaceDN w:val="0"/>
                    <w:adjustRightInd w:val="0"/>
                    <w:ind w:firstLine="420" w:firstLineChars="2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做好开发区及新洲生态园、梁鸿湿地等重要生态环境保护目标规划控制和保护。</w:t>
                  </w:r>
                </w:p>
              </w:tc>
              <w:tc>
                <w:tcPr>
                  <w:tcW w:w="1960" w:type="pct"/>
                  <w:noWrap w:val="0"/>
                  <w:vAlign w:val="center"/>
                </w:tcPr>
                <w:p>
                  <w:pPr>
                    <w:autoSpaceDE w:val="0"/>
                    <w:autoSpaceDN w:val="0"/>
                    <w:adjustRightInd w:val="0"/>
                    <w:snapToGrid w:val="0"/>
                    <w:ind w:firstLine="420" w:firstLineChars="2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本项目不涉及生态环境保护目标。</w:t>
                  </w:r>
                </w:p>
              </w:tc>
              <w:tc>
                <w:tcPr>
                  <w:tcW w:w="589"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相符</w:t>
                  </w:r>
                </w:p>
              </w:tc>
            </w:tr>
          </w:tbl>
          <w:p>
            <w:pPr>
              <w:autoSpaceDE w:val="0"/>
              <w:autoSpaceDN w:val="0"/>
              <w:adjustRightInd w:val="0"/>
              <w:snapToGrid w:val="0"/>
              <w:spacing w:line="500" w:lineRule="exact"/>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（2）规划环评跟踪评价及审查意见的相符性分析</w:t>
            </w:r>
          </w:p>
          <w:p>
            <w:pPr>
              <w:autoSpaceDE w:val="0"/>
              <w:autoSpaceDN w:val="0"/>
              <w:adjustRightInd w:val="0"/>
              <w:snapToGrid w:val="0"/>
              <w:spacing w:line="500" w:lineRule="exact"/>
              <w:ind w:firstLine="482" w:firstLineChars="20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表1-2   本项目与规划环评跟踪评价审查意见的对照表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621"/>
              <w:gridCol w:w="3997"/>
              <w:gridCol w:w="2517"/>
              <w:gridCol w:w="7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9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序号</w:t>
                  </w:r>
                </w:p>
              </w:tc>
              <w:tc>
                <w:tcPr>
                  <w:tcW w:w="2538"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审查意见</w:t>
                  </w:r>
                </w:p>
              </w:tc>
              <w:tc>
                <w:tcPr>
                  <w:tcW w:w="1598"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本项目情况</w:t>
                  </w:r>
                </w:p>
              </w:tc>
              <w:tc>
                <w:tcPr>
                  <w:tcW w:w="470"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相符性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94" w:type="pct"/>
                  <w:noWrap w:val="0"/>
                  <w:vAlign w:val="center"/>
                </w:tcPr>
                <w:p>
                  <w:pPr>
                    <w:autoSpaceDE w:val="0"/>
                    <w:autoSpaceDN w:val="0"/>
                    <w:adjustRightIn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1</w:t>
                  </w:r>
                </w:p>
              </w:tc>
              <w:tc>
                <w:tcPr>
                  <w:tcW w:w="2538" w:type="pct"/>
                  <w:noWrap w:val="0"/>
                  <w:vAlign w:val="center"/>
                </w:tcPr>
                <w:p>
                  <w:pPr>
                    <w:autoSpaceDE w:val="0"/>
                    <w:autoSpaceDN w:val="0"/>
                    <w:adjustRightInd w:val="0"/>
                    <w:snapToGrid w:val="0"/>
                    <w:ind w:firstLine="42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进一步优化高新区产业定位和结构。根据《报告书》意见，逐步弱化精细化工产业定位，加快发展高新技术、现代服务、战略性新兴产业。高新区A 区禁止新增硫酸雾、氯化氢排放的项目，改扩建项目必须大幅度削减硫酸雾、氯化氢的排放。对硫酸雾排放量较大的西门凯电子等企业进行整改，避免对周边区域环境造成不良影响。对涉重企业进行特征污染物减排专项整治，确定企业减排目标及园区年度环境质量改善任务，在完成专项整治及环境质量改善年度任务前，禁止建设增加高新区铜、镍排放总量的项目。制定皮革化工项目的关闭计划。</w:t>
                  </w:r>
                </w:p>
              </w:tc>
              <w:tc>
                <w:tcPr>
                  <w:tcW w:w="1598" w:type="pct"/>
                  <w:noWrap w:val="0"/>
                  <w:vAlign w:val="center"/>
                </w:tcPr>
                <w:p>
                  <w:pPr>
                    <w:autoSpaceDE w:val="0"/>
                    <w:autoSpaceDN w:val="0"/>
                    <w:adjustRightInd w:val="0"/>
                    <w:snapToGrid w:val="0"/>
                    <w:ind w:firstLine="42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本项目属于汽车零部件生产，符合区域产业定位；本项目无硫酸雾、氯化氢产生，无重金属废水产生，固废妥善处理，“零”排放。</w:t>
                  </w:r>
                </w:p>
              </w:tc>
              <w:tc>
                <w:tcPr>
                  <w:tcW w:w="470"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94" w:type="pct"/>
                  <w:noWrap w:val="0"/>
                  <w:vAlign w:val="center"/>
                </w:tcPr>
                <w:p>
                  <w:pPr>
                    <w:autoSpaceDE w:val="0"/>
                    <w:autoSpaceDN w:val="0"/>
                    <w:adjustRightIn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2</w:t>
                  </w:r>
                </w:p>
              </w:tc>
              <w:tc>
                <w:tcPr>
                  <w:tcW w:w="2538" w:type="pct"/>
                  <w:noWrap w:val="0"/>
                  <w:vAlign w:val="center"/>
                </w:tcPr>
                <w:p>
                  <w:pPr>
                    <w:autoSpaceDE w:val="0"/>
                    <w:autoSpaceDN w:val="0"/>
                    <w:adjustRightInd w:val="0"/>
                    <w:ind w:firstLine="42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积极推进现有产业的技术进步和高新区的循环化改造，提升产业绿色发展水平。加强对集中居住区等环境敏感目标的保护，划定环境管控区，加强环境准入管理。落实《规划》环评提出的各项要求，做好新洲生态园、旺庄社区的规划控制和保护，对周边企业进行全面整改。</w:t>
                  </w:r>
                </w:p>
              </w:tc>
              <w:tc>
                <w:tcPr>
                  <w:tcW w:w="1598" w:type="pct"/>
                  <w:noWrap w:val="0"/>
                  <w:vAlign w:val="center"/>
                </w:tcPr>
                <w:p>
                  <w:pPr>
                    <w:autoSpaceDE w:val="0"/>
                    <w:autoSpaceDN w:val="0"/>
                    <w:adjustRightInd w:val="0"/>
                    <w:snapToGrid w:val="0"/>
                    <w:ind w:firstLine="42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本项目位于高新区A 区，不属于园区负面清单，各污染物落实污染防治措施后，对周围影响较小。</w:t>
                  </w:r>
                </w:p>
              </w:tc>
              <w:tc>
                <w:tcPr>
                  <w:tcW w:w="470"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9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3</w:t>
                  </w:r>
                </w:p>
              </w:tc>
              <w:tc>
                <w:tcPr>
                  <w:tcW w:w="2538" w:type="pct"/>
                  <w:noWrap w:val="0"/>
                  <w:vAlign w:val="center"/>
                </w:tcPr>
                <w:p>
                  <w:pPr>
                    <w:autoSpaceDE w:val="0"/>
                    <w:autoSpaceDN w:val="0"/>
                    <w:adjustRightInd w:val="0"/>
                    <w:ind w:firstLine="42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以持续改善和提升区域环境质量为目标，组织开展环境综合整治，强化落实高新区污染防治措施。落实《报告书》中的加强污水收集与处理，加快现有污水管网建设和改造、规范污泥处置系统建设；持续实施节能降耗、颗粒物减排，加大工业废气治理力度；加快完善水环境综合整治、大气环境综合提升、重金属污染综合防治、绿化工程建设等相关措施建议。</w:t>
                  </w:r>
                </w:p>
              </w:tc>
              <w:tc>
                <w:tcPr>
                  <w:tcW w:w="1598" w:type="pct"/>
                  <w:noWrap w:val="0"/>
                  <w:vAlign w:val="center"/>
                </w:tcPr>
                <w:p>
                  <w:pPr>
                    <w:autoSpaceDE w:val="0"/>
                    <w:autoSpaceDN w:val="0"/>
                    <w:adjustRightInd w:val="0"/>
                    <w:snapToGrid w:val="0"/>
                    <w:ind w:firstLine="42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本项目</w:t>
                  </w:r>
                  <w:r>
                    <w:rPr>
                      <w:rFonts w:hint="eastAsia" w:cs="Times New Roman"/>
                      <w:color w:val="auto"/>
                      <w:kern w:val="0"/>
                      <w:highlight w:val="none"/>
                      <w:lang w:val="en-US" w:eastAsia="zh-CN"/>
                    </w:rPr>
                    <w:t>无废气产生</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kern w:val="0"/>
                      <w:highlight w:val="none"/>
                    </w:rPr>
                    <w:t>本项目新增工艺废水经厂内污水处理站处理</w:t>
                  </w:r>
                  <w:r>
                    <w:rPr>
                      <w:rFonts w:hint="eastAsia" w:cs="Times New Roman"/>
                      <w:color w:val="auto"/>
                      <w:kern w:val="0"/>
                      <w:highlight w:val="none"/>
                      <w:lang w:eastAsia="zh-CN"/>
                    </w:rPr>
                    <w:t>，</w:t>
                  </w:r>
                  <w:r>
                    <w:rPr>
                      <w:rFonts w:hint="eastAsia" w:cs="Times New Roman"/>
                      <w:color w:val="auto"/>
                      <w:kern w:val="0"/>
                      <w:highlight w:val="none"/>
                      <w:lang w:val="en-US" w:eastAsia="zh-CN"/>
                    </w:rPr>
                    <w:t>制纯废水经厂内中水回用系统处理后均</w:t>
                  </w:r>
                  <w:r>
                    <w:rPr>
                      <w:rFonts w:hint="default" w:ascii="Times New Roman" w:hAnsi="Times New Roman" w:eastAsia="宋体" w:cs="Times New Roman"/>
                      <w:color w:val="auto"/>
                      <w:kern w:val="0"/>
                      <w:highlight w:val="none"/>
                    </w:rPr>
                    <w:t>回用于中水冷却塔，零排放。新增生活污水经预处理后与</w:t>
                  </w:r>
                  <w:r>
                    <w:rPr>
                      <w:rFonts w:hint="eastAsia" w:cs="Times New Roman"/>
                      <w:color w:val="auto"/>
                      <w:kern w:val="0"/>
                      <w:highlight w:val="none"/>
                      <w:lang w:val="en-US" w:eastAsia="zh-CN"/>
                    </w:rPr>
                    <w:t>制软水废水</w:t>
                  </w:r>
                  <w:r>
                    <w:rPr>
                      <w:rFonts w:hint="default" w:ascii="Times New Roman" w:hAnsi="Times New Roman" w:eastAsia="宋体" w:cs="Times New Roman"/>
                      <w:color w:val="auto"/>
                      <w:kern w:val="0"/>
                      <w:highlight w:val="none"/>
                    </w:rPr>
                    <w:t>接管新城水处理厂集中处理。</w:t>
                  </w:r>
                </w:p>
              </w:tc>
              <w:tc>
                <w:tcPr>
                  <w:tcW w:w="470"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94" w:type="pct"/>
                  <w:noWrap w:val="0"/>
                  <w:vAlign w:val="center"/>
                </w:tcPr>
                <w:p>
                  <w:pPr>
                    <w:autoSpaceDE w:val="0"/>
                    <w:autoSpaceDN w:val="0"/>
                    <w:adjustRightIn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4</w:t>
                  </w:r>
                </w:p>
              </w:tc>
              <w:tc>
                <w:tcPr>
                  <w:tcW w:w="2538" w:type="pct"/>
                  <w:noWrap w:val="0"/>
                  <w:vAlign w:val="center"/>
                </w:tcPr>
                <w:p>
                  <w:pPr>
                    <w:autoSpaceDE w:val="0"/>
                    <w:autoSpaceDN w:val="0"/>
                    <w:adjustRightInd w:val="0"/>
                    <w:ind w:firstLine="42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建立健全长期稳定的高新区环境监测体系。根据高新区规划功能分区、产业布局、重点企业分布、特征污染物的排放种类和状况、环境敏感目标的分布等，建立和完善环境空气、地表水、地下水、土壤、河湖底泥等环境要素的监控体系，包括监测点位、因子、频率以及监测结果分析等，明确环保投资、实施时限、责任主体等。</w:t>
                  </w:r>
                </w:p>
              </w:tc>
              <w:tc>
                <w:tcPr>
                  <w:tcW w:w="1598" w:type="pct"/>
                  <w:noWrap w:val="0"/>
                  <w:vAlign w:val="center"/>
                </w:tcPr>
                <w:p>
                  <w:pPr>
                    <w:autoSpaceDE w:val="0"/>
                    <w:autoSpaceDN w:val="0"/>
                    <w:adjustRightInd w:val="0"/>
                    <w:snapToGrid w:val="0"/>
                    <w:ind w:firstLine="42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建设单位已制定详细的环境管理及环境监测计划。</w:t>
                  </w:r>
                </w:p>
              </w:tc>
              <w:tc>
                <w:tcPr>
                  <w:tcW w:w="470"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94" w:type="pct"/>
                  <w:noWrap w:val="0"/>
                  <w:vAlign w:val="center"/>
                </w:tcPr>
                <w:p>
                  <w:pPr>
                    <w:autoSpaceDE w:val="0"/>
                    <w:autoSpaceDN w:val="0"/>
                    <w:adjustRightIn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5</w:t>
                  </w:r>
                </w:p>
              </w:tc>
              <w:tc>
                <w:tcPr>
                  <w:tcW w:w="2538" w:type="pct"/>
                  <w:noWrap w:val="0"/>
                  <w:vAlign w:val="center"/>
                </w:tcPr>
                <w:p>
                  <w:pPr>
                    <w:autoSpaceDE w:val="0"/>
                    <w:autoSpaceDN w:val="0"/>
                    <w:adjustRightInd w:val="0"/>
                    <w:ind w:firstLine="42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建立健全高新区环境风险管控体系，加强环境管理能力建设。落实江苏省对圣立气体、松下冷机、海力士半导体等存在风险隐患企业的整改要求</w:t>
                  </w:r>
                </w:p>
              </w:tc>
              <w:tc>
                <w:tcPr>
                  <w:tcW w:w="1598" w:type="pct"/>
                  <w:noWrap w:val="0"/>
                  <w:vAlign w:val="center"/>
                </w:tcPr>
                <w:p>
                  <w:pPr>
                    <w:autoSpaceDE w:val="0"/>
                    <w:autoSpaceDN w:val="0"/>
                    <w:adjustRightInd w:val="0"/>
                    <w:snapToGrid w:val="0"/>
                    <w:ind w:firstLine="42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本项目落实各项环境风险防范措施，加强环境管理能力建设。</w:t>
                  </w:r>
                </w:p>
              </w:tc>
              <w:tc>
                <w:tcPr>
                  <w:tcW w:w="470"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相符</w:t>
                  </w:r>
                </w:p>
              </w:tc>
            </w:tr>
          </w:tbl>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由上表可知本项目建设与区域规划环评及跟踪评价意见相符。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76" w:hRule="atLeast"/>
          <w:jc w:val="center"/>
        </w:trPr>
        <w:tc>
          <w:tcPr>
            <w:tcW w:w="553"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其他符合性分析</w:t>
            </w:r>
          </w:p>
        </w:tc>
        <w:tc>
          <w:tcPr>
            <w:tcW w:w="4447" w:type="pct"/>
            <w:gridSpan w:val="3"/>
            <w:noWrap w:val="0"/>
            <w:vAlign w:val="center"/>
          </w:tcPr>
          <w:p>
            <w:pPr>
              <w:spacing w:line="500" w:lineRule="exact"/>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kern w:val="0"/>
                <w:sz w:val="24"/>
                <w:highlight w:val="none"/>
              </w:rPr>
              <w:t>1</w:t>
            </w:r>
            <w:r>
              <w:rPr>
                <w:rFonts w:hint="default" w:ascii="Times New Roman" w:hAnsi="Times New Roman" w:eastAsia="宋体" w:cs="Times New Roman"/>
                <w:b/>
                <w:bCs/>
                <w:color w:val="auto"/>
                <w:sz w:val="24"/>
                <w:szCs w:val="22"/>
                <w:highlight w:val="none"/>
              </w:rPr>
              <w:t>、太湖水污染防治相关法规相符性分析</w:t>
            </w:r>
          </w:p>
          <w:p>
            <w:pPr>
              <w:adjustRightInd w:val="0"/>
              <w:snapToGrid w:val="0"/>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江苏省太湖水污染防治条例》规定，太湖流域划分为三级保护区：太湖湖体、沿湖岸五公里区域、入湖河道上溯十公里以及沿岸两侧各一公里范围为一级保护区；主要入湖河道上溯十公里至五十公里以及沿岸两侧各一公里范围为二级保护区；其他地区为三级保护区。建设项目位于太湖流域三级保护区内。</w:t>
            </w:r>
          </w:p>
          <w:p>
            <w:pPr>
              <w:autoSpaceDE w:val="0"/>
              <w:autoSpaceDN w:val="0"/>
              <w:adjustRightInd w:val="0"/>
              <w:snapToGrid w:val="0"/>
              <w:jc w:val="center"/>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表1-</w:t>
            </w:r>
            <w:r>
              <w:rPr>
                <w:rFonts w:hint="default" w:ascii="Times New Roman" w:hAnsi="Times New Roman" w:eastAsia="宋体" w:cs="Times New Roman"/>
                <w:b/>
                <w:color w:val="auto"/>
                <w:kern w:val="0"/>
                <w:sz w:val="24"/>
                <w:szCs w:val="21"/>
                <w:highlight w:val="none"/>
                <w:lang w:val="en-US" w:eastAsia="zh-CN"/>
              </w:rPr>
              <w:t>3</w:t>
            </w:r>
            <w:r>
              <w:rPr>
                <w:rFonts w:hint="default" w:ascii="Times New Roman" w:hAnsi="Times New Roman" w:eastAsia="宋体" w:cs="Times New Roman"/>
                <w:b/>
                <w:color w:val="auto"/>
                <w:kern w:val="0"/>
                <w:sz w:val="24"/>
                <w:szCs w:val="21"/>
                <w:highlight w:val="none"/>
              </w:rPr>
              <w:t xml:space="preserve"> 本项目与太湖流域相关条例相符性分析情况表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059"/>
              <w:gridCol w:w="3981"/>
              <w:gridCol w:w="2065"/>
              <w:gridCol w:w="7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673" w:type="pct"/>
                  <w:noWrap w:val="0"/>
                  <w:vAlign w:val="center"/>
                </w:tcPr>
                <w:p>
                  <w:pPr>
                    <w:adjustRightInd w:val="0"/>
                    <w:snapToGrid w:val="0"/>
                    <w:spacing w:line="50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文件</w:t>
                  </w:r>
                </w:p>
              </w:tc>
              <w:tc>
                <w:tcPr>
                  <w:tcW w:w="2528" w:type="pct"/>
                  <w:noWrap w:val="0"/>
                  <w:vAlign w:val="center"/>
                </w:tcPr>
                <w:p>
                  <w:pPr>
                    <w:adjustRightInd w:val="0"/>
                    <w:snapToGrid w:val="0"/>
                    <w:spacing w:line="50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相关条款</w:t>
                  </w:r>
                </w:p>
              </w:tc>
              <w:tc>
                <w:tcPr>
                  <w:tcW w:w="1311" w:type="pct"/>
                  <w:noWrap w:val="0"/>
                  <w:vAlign w:val="center"/>
                </w:tcPr>
                <w:p>
                  <w:pPr>
                    <w:adjustRightInd w:val="0"/>
                    <w:snapToGrid w:val="0"/>
                    <w:spacing w:line="50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本项目情况</w:t>
                  </w:r>
                </w:p>
              </w:tc>
              <w:tc>
                <w:tcPr>
                  <w:tcW w:w="487" w:type="pct"/>
                  <w:noWrap w:val="0"/>
                  <w:vAlign w:val="center"/>
                </w:tcPr>
                <w:p>
                  <w:pPr>
                    <w:adjustRightInd w:val="0"/>
                    <w:snapToGrid w:val="0"/>
                    <w:spacing w:line="50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相符性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673" w:type="pct"/>
                  <w:vMerge w:val="restart"/>
                  <w:noWrap w:val="0"/>
                  <w:vAlign w:val="center"/>
                </w:tcPr>
                <w:p>
                  <w:pP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szCs w:val="21"/>
                      <w:highlight w:val="none"/>
                    </w:rPr>
                    <w:t>《太湖流域管理条例》（中华人民共和国国务院令第604号，2011年9月7日）</w:t>
                  </w:r>
                </w:p>
              </w:tc>
              <w:tc>
                <w:tcPr>
                  <w:tcW w:w="2528" w:type="pct"/>
                  <w:noWrap w:val="0"/>
                  <w:vAlign w:val="center"/>
                </w:tcPr>
                <w:p>
                  <w:pPr>
                    <w:pStyle w:val="51"/>
                    <w:snapToGrid w:val="0"/>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sz w:val="21"/>
                      <w:szCs w:val="21"/>
                      <w:highlight w:val="none"/>
                    </w:rPr>
                    <w:t>第二十八条“禁止在太湖流域设置不符合国家产业政策和水环境综合治理要求的造纸、制革、酒精、淀粉、冶金、酿造、印染、电镀等排放水污染物的生产项目，现有的生产项目不能实现达标排放的，应当依法关闭”。</w:t>
                  </w:r>
                </w:p>
              </w:tc>
              <w:tc>
                <w:tcPr>
                  <w:tcW w:w="1311" w:type="pct"/>
                  <w:noWrap w:val="0"/>
                  <w:vAlign w:val="center"/>
                </w:tcPr>
                <w:p>
                  <w:pPr>
                    <w:pStyle w:val="51"/>
                    <w:snapToGrid w:val="0"/>
                    <w:ind w:firstLine="420" w:firstLineChars="200"/>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本项目生产汽车零部件，各污染物能达标排放</w:t>
                  </w:r>
                </w:p>
              </w:tc>
              <w:tc>
                <w:tcPr>
                  <w:tcW w:w="487" w:type="pct"/>
                  <w:noWrap w:val="0"/>
                  <w:vAlign w:val="center"/>
                </w:tcPr>
                <w:p>
                  <w:pPr>
                    <w:adjustRightInd w:val="0"/>
                    <w:snapToGrid w:val="0"/>
                    <w:spacing w:line="50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snapToGrid w:val="0"/>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673" w:type="pct"/>
                  <w:vMerge w:val="continue"/>
                  <w:noWrap w:val="0"/>
                  <w:vAlign w:val="center"/>
                </w:tcPr>
                <w:p>
                  <w:pPr>
                    <w:adjustRightInd w:val="0"/>
                    <w:snapToGrid w:val="0"/>
                    <w:spacing w:line="500" w:lineRule="exact"/>
                    <w:rPr>
                      <w:rFonts w:hint="default" w:ascii="Times New Roman" w:hAnsi="Times New Roman" w:eastAsia="宋体" w:cs="Times New Roman"/>
                      <w:color w:val="auto"/>
                      <w:szCs w:val="21"/>
                      <w:highlight w:val="none"/>
                    </w:rPr>
                  </w:pPr>
                </w:p>
              </w:tc>
              <w:tc>
                <w:tcPr>
                  <w:tcW w:w="2528" w:type="pct"/>
                  <w:noWrap w:val="0"/>
                  <w:vAlign w:val="center"/>
                </w:tcPr>
                <w:p>
                  <w:pPr>
                    <w:pStyle w:val="51"/>
                    <w:snapToGrid w:val="0"/>
                    <w:ind w:firstLine="420" w:firstLineChars="200"/>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第二十九条“新孟河、望虞河以外的其他主要入太湖河道，自河口1万米上溯至5万米河道岸线内及其岸线两侧各1000米范围内，禁止下列行为：（一）新建、扩建化工、医药生产项目；（二）新建、扩建污水集中处理设施排污口以外的排污口；（三）扩大水产养殖规模”；</w:t>
                  </w:r>
                </w:p>
              </w:tc>
              <w:tc>
                <w:tcPr>
                  <w:tcW w:w="1311" w:type="pct"/>
                  <w:noWrap w:val="0"/>
                  <w:vAlign w:val="center"/>
                </w:tcPr>
                <w:p>
                  <w:pPr>
                    <w:pStyle w:val="51"/>
                    <w:snapToGrid w:val="0"/>
                    <w:ind w:firstLine="420" w:firstLineChars="200"/>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本项目距离望虞河7.3km。</w:t>
                  </w:r>
                </w:p>
              </w:tc>
              <w:tc>
                <w:tcPr>
                  <w:tcW w:w="487" w:type="pct"/>
                  <w:noWrap w:val="0"/>
                  <w:vAlign w:val="center"/>
                </w:tcPr>
                <w:p>
                  <w:pPr>
                    <w:adjustRightInd w:val="0"/>
                    <w:snapToGrid w:val="0"/>
                    <w:spacing w:line="50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29" w:hRule="atLeast"/>
              </w:trPr>
              <w:tc>
                <w:tcPr>
                  <w:tcW w:w="673" w:type="pct"/>
                  <w:vMerge w:val="continue"/>
                  <w:noWrap w:val="0"/>
                  <w:vAlign w:val="center"/>
                </w:tcPr>
                <w:p>
                  <w:pPr>
                    <w:adjustRightInd w:val="0"/>
                    <w:snapToGrid w:val="0"/>
                    <w:spacing w:line="500" w:lineRule="exact"/>
                    <w:rPr>
                      <w:rFonts w:hint="default" w:ascii="Times New Roman" w:hAnsi="Times New Roman" w:eastAsia="宋体" w:cs="Times New Roman"/>
                      <w:color w:val="auto"/>
                      <w:szCs w:val="21"/>
                      <w:highlight w:val="none"/>
                    </w:rPr>
                  </w:pPr>
                </w:p>
              </w:tc>
              <w:tc>
                <w:tcPr>
                  <w:tcW w:w="2528" w:type="pct"/>
                  <w:noWrap w:val="0"/>
                  <w:vAlign w:val="center"/>
                </w:tcPr>
                <w:p>
                  <w:pPr>
                    <w:pStyle w:val="51"/>
                    <w:snapToGrid w:val="0"/>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sz w:val="21"/>
                      <w:szCs w:val="21"/>
                      <w:highlight w:val="none"/>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tc>
              <w:tc>
                <w:tcPr>
                  <w:tcW w:w="1311" w:type="pct"/>
                  <w:noWrap w:val="0"/>
                  <w:vAlign w:val="center"/>
                </w:tcPr>
                <w:p>
                  <w:pPr>
                    <w:pStyle w:val="51"/>
                    <w:snapToGrid w:val="0"/>
                    <w:ind w:firstLine="420" w:firstLineChars="200"/>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本项目距离太湖6km，望虞河7.3km。</w:t>
                  </w:r>
                </w:p>
              </w:tc>
              <w:tc>
                <w:tcPr>
                  <w:tcW w:w="487" w:type="pct"/>
                  <w:noWrap w:val="0"/>
                  <w:vAlign w:val="center"/>
                </w:tcPr>
                <w:p>
                  <w:pPr>
                    <w:adjustRightInd w:val="0"/>
                    <w:snapToGrid w:val="0"/>
                    <w:spacing w:line="50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673" w:type="pct"/>
                  <w:noWrap w:val="0"/>
                  <w:vAlign w:val="center"/>
                </w:tcPr>
                <w:p>
                  <w:pPr>
                    <w:pStyle w:val="51"/>
                    <w:snapToGrid w:val="0"/>
                    <w:ind w:firstLine="25" w:firstLineChars="12"/>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《江苏省太湖水污染防治条例》</w:t>
                  </w:r>
                </w:p>
              </w:tc>
              <w:tc>
                <w:tcPr>
                  <w:tcW w:w="2528" w:type="pct"/>
                  <w:noWrap w:val="0"/>
                  <w:vAlign w:val="center"/>
                </w:tcPr>
                <w:p>
                  <w:pPr>
                    <w:pStyle w:val="51"/>
                    <w:snapToGrid w:val="0"/>
                    <w:ind w:firstLine="420" w:firstLineChars="200"/>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第四十三条规定：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地；（八）违法开山采石，或者进行破坏林木、植被、水生生物的活动（九）法律、法规禁止的其他行为。</w:t>
                  </w:r>
                </w:p>
              </w:tc>
              <w:tc>
                <w:tcPr>
                  <w:tcW w:w="1311" w:type="pct"/>
                  <w:noWrap w:val="0"/>
                  <w:vAlign w:val="center"/>
                </w:tcPr>
                <w:p>
                  <w:pPr>
                    <w:pStyle w:val="51"/>
                    <w:snapToGrid w:val="0"/>
                    <w:ind w:firstLine="420" w:firstLineChars="200"/>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本项目位于太湖流域三级保护区内。不属于化学制浆造纸、制革、酿造、染料、印染、电镀类项目。</w:t>
                  </w:r>
                  <w:r>
                    <w:rPr>
                      <w:rFonts w:hint="default" w:ascii="Times New Roman" w:hAnsi="Times New Roman" w:eastAsia="宋体" w:cs="Times New Roman"/>
                      <w:color w:val="auto"/>
                      <w:kern w:val="0"/>
                      <w:sz w:val="21"/>
                      <w:szCs w:val="21"/>
                      <w:highlight w:val="none"/>
                    </w:rPr>
                    <w:t>本项目新增工</w:t>
                  </w:r>
                  <w:r>
                    <w:rPr>
                      <w:rFonts w:hint="default" w:ascii="Times New Roman" w:hAnsi="Times New Roman" w:eastAsia="宋体" w:cs="Times New Roman"/>
                      <w:snapToGrid w:val="0"/>
                      <w:color w:val="auto"/>
                      <w:sz w:val="21"/>
                      <w:szCs w:val="21"/>
                      <w:highlight w:val="none"/>
                    </w:rPr>
                    <w:t>艺废水经厂内污水处理站处理</w:t>
                  </w:r>
                  <w:r>
                    <w:rPr>
                      <w:rFonts w:hint="eastAsia" w:ascii="Times New Roman" w:hAnsi="Times New Roman" w:eastAsia="宋体" w:cs="Times New Roman"/>
                      <w:snapToGrid w:val="0"/>
                      <w:color w:val="auto"/>
                      <w:sz w:val="21"/>
                      <w:szCs w:val="21"/>
                      <w:highlight w:val="none"/>
                      <w:lang w:eastAsia="zh-CN"/>
                    </w:rPr>
                    <w:t>，</w:t>
                  </w:r>
                  <w:r>
                    <w:rPr>
                      <w:rFonts w:hint="eastAsia" w:ascii="Times New Roman" w:hAnsi="Times New Roman" w:eastAsia="宋体" w:cs="Times New Roman"/>
                      <w:snapToGrid w:val="0"/>
                      <w:color w:val="auto"/>
                      <w:sz w:val="21"/>
                      <w:szCs w:val="21"/>
                      <w:highlight w:val="none"/>
                      <w:lang w:val="en-US" w:eastAsia="zh-CN"/>
                    </w:rPr>
                    <w:t>制纯废水经厂内中水回用系统处理后均</w:t>
                  </w:r>
                  <w:r>
                    <w:rPr>
                      <w:rFonts w:hint="default" w:ascii="Times New Roman" w:hAnsi="Times New Roman" w:eastAsia="宋体" w:cs="Times New Roman"/>
                      <w:snapToGrid w:val="0"/>
                      <w:color w:val="auto"/>
                      <w:sz w:val="21"/>
                      <w:szCs w:val="21"/>
                      <w:highlight w:val="none"/>
                    </w:rPr>
                    <w:t>回用于中水冷却塔，零排放。新增生活污水经预处理后与</w:t>
                  </w:r>
                  <w:r>
                    <w:rPr>
                      <w:rFonts w:hint="eastAsia" w:ascii="Times New Roman" w:hAnsi="Times New Roman" w:eastAsia="宋体" w:cs="Times New Roman"/>
                      <w:snapToGrid w:val="0"/>
                      <w:color w:val="auto"/>
                      <w:sz w:val="21"/>
                      <w:szCs w:val="21"/>
                      <w:highlight w:val="none"/>
                      <w:lang w:val="en-US" w:eastAsia="zh-CN"/>
                    </w:rPr>
                    <w:t>制软水废水</w:t>
                  </w:r>
                  <w:r>
                    <w:rPr>
                      <w:rFonts w:hint="default" w:ascii="Times New Roman" w:hAnsi="Times New Roman" w:eastAsia="宋体" w:cs="Times New Roman"/>
                      <w:snapToGrid w:val="0"/>
                      <w:color w:val="auto"/>
                      <w:sz w:val="21"/>
                      <w:szCs w:val="21"/>
                      <w:highlight w:val="none"/>
                    </w:rPr>
                    <w:t>接管新城水处理厂集中处理</w:t>
                  </w:r>
                  <w:r>
                    <w:rPr>
                      <w:rFonts w:hint="eastAsia"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固体废物分类收集和处理处置，不随意倾倒，厂区内设置专门的危废仓库和一般固废仓库。</w:t>
                  </w:r>
                </w:p>
              </w:tc>
              <w:tc>
                <w:tcPr>
                  <w:tcW w:w="487" w:type="pct"/>
                  <w:noWrap w:val="0"/>
                  <w:vAlign w:val="center"/>
                </w:tcPr>
                <w:p>
                  <w:pPr>
                    <w:pStyle w:val="51"/>
                    <w:snapToGrid w:val="0"/>
                    <w:ind w:firstLine="4" w:firstLineChars="2"/>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相符</w:t>
                  </w:r>
                </w:p>
              </w:tc>
            </w:tr>
          </w:tbl>
          <w:p>
            <w:pPr>
              <w:autoSpaceDE w:val="0"/>
              <w:autoSpaceDN w:val="0"/>
              <w:adjustRightInd w:val="0"/>
              <w:snapToGrid w:val="0"/>
              <w:spacing w:line="50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 xml:space="preserve">    由上表可知：</w:t>
            </w:r>
            <w:r>
              <w:rPr>
                <w:rFonts w:hint="default" w:ascii="Times New Roman" w:hAnsi="Times New Roman" w:eastAsia="宋体" w:cs="Times New Roman"/>
                <w:snapToGrid w:val="0"/>
                <w:color w:val="auto"/>
                <w:sz w:val="24"/>
                <w:highlight w:val="none"/>
              </w:rPr>
              <w:t>本项目建设与《太湖流域管理条例(2011年)》、《江苏省太湖水污染防治条例》要求相符。</w:t>
            </w:r>
          </w:p>
          <w:p>
            <w:pPr>
              <w:pStyle w:val="77"/>
              <w:spacing w:beforeLines="50"/>
              <w:rPr>
                <w:rFonts w:hint="default" w:ascii="Times New Roman" w:hAnsi="Times New Roman" w:eastAsia="宋体" w:cs="Times New Roman"/>
                <w:color w:val="auto"/>
                <w:sz w:val="24"/>
                <w:highlight w:val="none"/>
              </w:rPr>
            </w:pPr>
            <w:bookmarkStart w:id="4" w:name="_Toc92213072"/>
            <w:r>
              <w:rPr>
                <w:rFonts w:hint="default" w:ascii="Times New Roman" w:hAnsi="Times New Roman" w:eastAsia="宋体" w:cs="Times New Roman"/>
                <w:color w:val="auto"/>
                <w:sz w:val="24"/>
                <w:highlight w:val="none"/>
              </w:rPr>
              <w:t>2、与挥发性有机物治理相关环保政策的相符性分析</w:t>
            </w:r>
            <w:bookmarkEnd w:id="4"/>
          </w:p>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表1-</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 xml:space="preserve">    本项目与挥发性有机物治理相关环保政策相符性分析</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41"/>
              <w:gridCol w:w="1501"/>
              <w:gridCol w:w="3892"/>
              <w:gridCol w:w="20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80" w:type="pct"/>
                  <w:tcBorders>
                    <w:top w:val="single" w:color="auto" w:sz="12" w:space="0"/>
                    <w:left w:val="nil"/>
                    <w:bottom w:val="single" w:color="auto" w:sz="4" w:space="0"/>
                    <w:right w:val="single" w:color="auto" w:sz="4" w:space="0"/>
                  </w:tcBorders>
                  <w:noWrap w:val="0"/>
                  <w:vAlign w:val="center"/>
                </w:tcPr>
                <w:p>
                  <w:pP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szCs w:val="21"/>
                      <w:highlight w:val="none"/>
                    </w:rPr>
                    <w:t>序号</w:t>
                  </w:r>
                </w:p>
              </w:tc>
              <w:tc>
                <w:tcPr>
                  <w:tcW w:w="953"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政策法规</w:t>
                  </w:r>
                </w:p>
              </w:tc>
              <w:tc>
                <w:tcPr>
                  <w:tcW w:w="2471"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内容</w:t>
                  </w:r>
                </w:p>
              </w:tc>
              <w:tc>
                <w:tcPr>
                  <w:tcW w:w="1296" w:type="pct"/>
                  <w:tcBorders>
                    <w:top w:val="single" w:color="auto" w:sz="12" w:space="0"/>
                    <w:left w:val="single" w:color="auto" w:sz="4" w:space="0"/>
                    <w:bottom w:val="single" w:color="auto" w:sz="4" w:space="0"/>
                    <w:right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0" w:type="pct"/>
                  <w:tcBorders>
                    <w:top w:val="single" w:color="auto" w:sz="4" w:space="0"/>
                    <w:left w:val="nil"/>
                    <w:bottom w:val="single" w:color="auto" w:sz="4" w:space="0"/>
                    <w:right w:val="single" w:color="auto" w:sz="4" w:space="0"/>
                  </w:tcBorders>
                  <w:noWrap w:val="0"/>
                  <w:vAlign w:val="center"/>
                </w:tcPr>
                <w:p>
                  <w:pPr>
                    <w:widowControl/>
                    <w:numPr>
                      <w:ilvl w:val="0"/>
                      <w:numId w:val="4"/>
                    </w:numPr>
                    <w:jc w:val="center"/>
                    <w:rPr>
                      <w:rFonts w:hint="default" w:ascii="Times New Roman" w:hAnsi="Times New Roman" w:eastAsia="宋体" w:cs="Times New Roman"/>
                      <w:color w:val="auto"/>
                      <w:szCs w:val="21"/>
                      <w:highlight w:val="none"/>
                    </w:rPr>
                  </w:pPr>
                </w:p>
              </w:tc>
              <w:tc>
                <w:tcPr>
                  <w:tcW w:w="95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《江苏省大气污染防治条例》</w:t>
                  </w:r>
                </w:p>
              </w:tc>
              <w:tc>
                <w:tcPr>
                  <w:tcW w:w="2471" w:type="pct"/>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第三十三条禁止新建、扩建列入名录的高污染工业项目。禁止使用列入淘汰名录的高污染工艺设备。</w:t>
                  </w:r>
                </w:p>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第三十九条产生挥发性有机物废气的生产经营活动，应当在密闭空间或者设备中进行，并设置废气收集和处理系统等污染防治设施，保持其正常使用。 </w:t>
                  </w:r>
                </w:p>
              </w:tc>
              <w:tc>
                <w:tcPr>
                  <w:tcW w:w="1296" w:type="pct"/>
                  <w:tcBorders>
                    <w:top w:val="single" w:color="auto" w:sz="4" w:space="0"/>
                    <w:left w:val="single" w:color="auto" w:sz="4" w:space="0"/>
                    <w:bottom w:val="single" w:color="auto" w:sz="4" w:space="0"/>
                    <w:right w:val="nil"/>
                  </w:tcBorders>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本项目为C3670汽车零部件及配件制造，不使用煤炭，不属于高污染工业项目名录，</w:t>
                  </w:r>
                  <w:r>
                    <w:rPr>
                      <w:rFonts w:hint="eastAsia" w:cs="Times New Roman"/>
                      <w:color w:val="auto"/>
                      <w:szCs w:val="21"/>
                      <w:highlight w:val="none"/>
                      <w:lang w:val="en-US" w:eastAsia="zh-CN"/>
                    </w:rPr>
                    <w:t>无废气产生</w:t>
                  </w:r>
                  <w:r>
                    <w:rPr>
                      <w:rFonts w:hint="default" w:ascii="Times New Roman" w:hAnsi="Times New Roman" w:eastAsia="宋体" w:cs="Times New Roman"/>
                      <w:color w:val="auto"/>
                      <w:szCs w:val="21"/>
                      <w:highlight w:val="none"/>
                    </w:rPr>
                    <w:t>，符合《江苏省大气污染防治条例》中相关要求。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0" w:type="pct"/>
                  <w:tcBorders>
                    <w:top w:val="single" w:color="auto" w:sz="4" w:space="0"/>
                    <w:left w:val="nil"/>
                    <w:bottom w:val="single" w:color="auto" w:sz="4" w:space="0"/>
                    <w:right w:val="single" w:color="auto" w:sz="4" w:space="0"/>
                  </w:tcBorders>
                  <w:noWrap w:val="0"/>
                  <w:vAlign w:val="center"/>
                </w:tcPr>
                <w:p>
                  <w:pPr>
                    <w:widowControl/>
                    <w:numPr>
                      <w:ilvl w:val="0"/>
                      <w:numId w:val="4"/>
                    </w:numPr>
                    <w:jc w:val="center"/>
                    <w:rPr>
                      <w:rFonts w:hint="default" w:ascii="Times New Roman" w:hAnsi="Times New Roman" w:eastAsia="宋体" w:cs="Times New Roman"/>
                      <w:color w:val="auto"/>
                      <w:szCs w:val="21"/>
                      <w:highlight w:val="none"/>
                      <w:shd w:val="clear" w:color="auto" w:fill="D9D9D9"/>
                    </w:rPr>
                  </w:pPr>
                </w:p>
              </w:tc>
              <w:tc>
                <w:tcPr>
                  <w:tcW w:w="953" w:type="pct"/>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《国务院关于印发打赢蓝天保卫战三年行动计划的通知》国发〔2018〕22号、《江苏省打赢蓝天保卫战三年行动计划实施方案》（苏政发[2018]122 号）</w:t>
                  </w:r>
                </w:p>
              </w:tc>
              <w:tc>
                <w:tcPr>
                  <w:tcW w:w="2471" w:type="pct"/>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（1）禁止建设生产和使用高 VOCs 含量的溶剂型涂料、油墨、胶粘剂等项目。 以减少苯、甲苯、二甲苯等溶剂和助剂的使用为重点，推进低 VOCs 含量、低反应活性原辅材料和产品的替代。 2020 年，全省高活性溶剂和助剂类产品使用减少20%以上。</w:t>
                  </w:r>
                </w:p>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（2）加强工业企业 VOCs 无组织排放管理。 推动企业实施生产过程密闭化、连续化、自动化技术改造，强化生产工艺环节的有机废气收集。</w:t>
                  </w:r>
                </w:p>
              </w:tc>
              <w:tc>
                <w:tcPr>
                  <w:tcW w:w="1296" w:type="pct"/>
                  <w:vMerge w:val="restart"/>
                  <w:tcBorders>
                    <w:top w:val="single" w:color="auto" w:sz="4" w:space="0"/>
                    <w:left w:val="single" w:color="auto" w:sz="4" w:space="0"/>
                    <w:right w:val="nil"/>
                  </w:tcBorders>
                  <w:noWrap w:val="0"/>
                  <w:vAlign w:val="center"/>
                </w:tcPr>
                <w:p>
                  <w:pPr>
                    <w:adjustRightInd w:val="0"/>
                    <w:snapToGrid w:val="0"/>
                    <w:rPr>
                      <w:rFonts w:hint="default" w:ascii="Times New Roman" w:hAnsi="Times New Roman" w:eastAsia="宋体" w:cs="Times New Roman"/>
                      <w:color w:val="auto"/>
                      <w:kern w:val="0"/>
                      <w:szCs w:val="21"/>
                      <w:highlight w:val="none"/>
                      <w:shd w:val="clear" w:color="auto" w:fill="D9D9D9"/>
                    </w:rPr>
                  </w:pPr>
                  <w:r>
                    <w:rPr>
                      <w:rFonts w:hint="default" w:ascii="Times New Roman" w:hAnsi="Times New Roman" w:eastAsia="宋体" w:cs="Times New Roman"/>
                      <w:bCs/>
                      <w:snapToGrid w:val="0"/>
                      <w:color w:val="auto"/>
                      <w:szCs w:val="21"/>
                      <w:highlight w:val="none"/>
                    </w:rPr>
                    <w:t>本项目属于C3670汽车零部件及配件制造，本项目使用水性清洗剂；各类加工油和清洗剂采用桶装物料，在仓库内加盖保存。因此本项目建设符合前述相关要求。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0" w:type="pct"/>
                  <w:tcBorders>
                    <w:top w:val="single" w:color="auto" w:sz="4" w:space="0"/>
                    <w:left w:val="nil"/>
                    <w:bottom w:val="single" w:color="auto" w:sz="4" w:space="0"/>
                    <w:right w:val="single" w:color="auto" w:sz="4" w:space="0"/>
                  </w:tcBorders>
                  <w:noWrap w:val="0"/>
                  <w:vAlign w:val="center"/>
                </w:tcPr>
                <w:p>
                  <w:pPr>
                    <w:widowControl/>
                    <w:numPr>
                      <w:ilvl w:val="0"/>
                      <w:numId w:val="4"/>
                    </w:numPr>
                    <w:jc w:val="center"/>
                    <w:rPr>
                      <w:rFonts w:hint="default" w:ascii="Times New Roman" w:hAnsi="Times New Roman" w:eastAsia="宋体" w:cs="Times New Roman"/>
                      <w:color w:val="auto"/>
                      <w:szCs w:val="21"/>
                      <w:highlight w:val="none"/>
                      <w:shd w:val="clear" w:color="auto" w:fill="D9D9D9"/>
                    </w:rPr>
                  </w:pPr>
                </w:p>
              </w:tc>
              <w:tc>
                <w:tcPr>
                  <w:tcW w:w="953" w:type="pct"/>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《重点行业挥发性有机物综合治理方案》（环大气[2019]53号）</w:t>
                  </w:r>
                </w:p>
              </w:tc>
              <w:tc>
                <w:tcPr>
                  <w:tcW w:w="2471" w:type="pct"/>
                  <w:tcBorders>
                    <w:top w:val="single" w:color="auto" w:sz="4" w:space="0"/>
                    <w:left w:val="single" w:color="auto" w:sz="4" w:space="0"/>
                    <w:bottom w:val="single" w:color="auto" w:sz="4" w:space="0"/>
                    <w:right w:val="single" w:color="auto" w:sz="4" w:space="0"/>
                  </w:tcBorders>
                  <w:noWrap w:val="0"/>
                  <w:vAlign w:val="top"/>
                </w:tcPr>
                <w:p>
                  <w:pPr>
                    <w:adjustRightInd w:val="0"/>
                    <w:snapToGrid w:val="0"/>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p>
                  <w:pPr>
                    <w:pStyle w:val="53"/>
                    <w:numPr>
                      <w:ilvl w:val="1"/>
                      <w:numId w:val="2"/>
                    </w:numPr>
                    <w:adjustRightInd w:val="0"/>
                    <w:snapToGrid w:val="0"/>
                    <w:spacing w:line="240" w:lineRule="auto"/>
                    <w:ind w:left="109" w:firstLine="284" w:firstLineChars="0"/>
                    <w:rPr>
                      <w:rFonts w:hint="default" w:ascii="Times New Roman" w:hAnsi="Times New Roman" w:eastAsia="宋体" w:cs="Times New Roman"/>
                      <w:snapToGrid w:val="0"/>
                      <w:color w:val="auto"/>
                      <w:szCs w:val="21"/>
                      <w:highlight w:val="none"/>
                    </w:rPr>
                  </w:pPr>
                  <w:r>
                    <w:rPr>
                      <w:rFonts w:hint="default" w:ascii="Times New Roman" w:hAnsi="Times New Roman" w:eastAsia="宋体" w:cs="Times New Roman"/>
                      <w:snapToGrid w:val="0"/>
                      <w:color w:val="auto"/>
                      <w:szCs w:val="21"/>
                      <w:highlight w:val="none"/>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3）鼓励企业采用多种技术的组合工艺，提高VOCs治理效率。</w:t>
                  </w:r>
                </w:p>
              </w:tc>
              <w:tc>
                <w:tcPr>
                  <w:tcW w:w="1296" w:type="pct"/>
                  <w:vMerge w:val="continue"/>
                  <w:tcBorders>
                    <w:left w:val="single" w:color="auto" w:sz="4" w:space="0"/>
                    <w:right w:val="nil"/>
                  </w:tcBorders>
                  <w:noWrap w:val="0"/>
                  <w:vAlign w:val="top"/>
                </w:tcPr>
                <w:p>
                  <w:pPr>
                    <w:adjustRightInd w:val="0"/>
                    <w:snapToGrid w:val="0"/>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280" w:type="pct"/>
                  <w:tcBorders>
                    <w:top w:val="single" w:color="auto" w:sz="4" w:space="0"/>
                    <w:left w:val="nil"/>
                    <w:bottom w:val="single" w:color="auto" w:sz="4" w:space="0"/>
                    <w:right w:val="single" w:color="auto" w:sz="4" w:space="0"/>
                  </w:tcBorders>
                  <w:noWrap w:val="0"/>
                  <w:vAlign w:val="center"/>
                </w:tcPr>
                <w:p>
                  <w:pPr>
                    <w:widowControl/>
                    <w:numPr>
                      <w:ilvl w:val="0"/>
                      <w:numId w:val="4"/>
                    </w:numPr>
                    <w:jc w:val="center"/>
                    <w:rPr>
                      <w:rFonts w:hint="default" w:ascii="Times New Roman" w:hAnsi="Times New Roman" w:eastAsia="宋体" w:cs="Times New Roman"/>
                      <w:color w:val="auto"/>
                      <w:szCs w:val="21"/>
                      <w:highlight w:val="none"/>
                      <w:shd w:val="clear" w:color="auto" w:fill="D9D9D9"/>
                    </w:rPr>
                  </w:pPr>
                </w:p>
              </w:tc>
              <w:tc>
                <w:tcPr>
                  <w:tcW w:w="95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关于印发《无锡市重点行业挥发性有机物清洁原料替代工作方案》的通知（锡大气办〔2021〕11号）</w:t>
                  </w:r>
                </w:p>
              </w:tc>
              <w:tc>
                <w:tcPr>
                  <w:tcW w:w="2471" w:type="pct"/>
                  <w:tcBorders>
                    <w:top w:val="single" w:color="auto" w:sz="4" w:space="0"/>
                    <w:left w:val="single" w:color="auto" w:sz="4" w:space="0"/>
                    <w:bottom w:val="single" w:color="auto" w:sz="4" w:space="0"/>
                    <w:right w:val="single" w:color="auto" w:sz="4" w:space="0"/>
                  </w:tcBorders>
                  <w:noWrap w:val="0"/>
                  <w:vAlign w:val="center"/>
                </w:tcPr>
                <w:p>
                  <w:pPr>
                    <w:pStyle w:val="51"/>
                    <w:snapToGrid w:val="0"/>
                    <w:ind w:firstLine="105" w:firstLineChars="50"/>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（五）其他企业。其他行业企业涉 VOCs 相关工序，要使用符合《低挥发性有机化合物含量涂料产品技术要求》（GB/T 38597-2020）规定的粉末、水性、无溶剂、辐射固化涂料产品；符合《清洗剂挥发性有机化合物含量限值》（GB 38508-2020）规定的水基、半水基清洗剂产品；符合《胶粘剂挥发性有机化合物限量》（GB 33372-2020）规定的水基型、本体型胶粘剂产品。</w:t>
                  </w:r>
                </w:p>
              </w:tc>
              <w:tc>
                <w:tcPr>
                  <w:tcW w:w="1296" w:type="pct"/>
                  <w:vMerge w:val="continue"/>
                  <w:tcBorders>
                    <w:left w:val="single" w:color="auto" w:sz="4" w:space="0"/>
                    <w:bottom w:val="single" w:color="auto" w:sz="4" w:space="0"/>
                    <w:right w:val="nil"/>
                  </w:tcBorders>
                  <w:noWrap w:val="0"/>
                  <w:vAlign w:val="center"/>
                </w:tcPr>
                <w:p>
                  <w:pPr>
                    <w:spacing w:beforeAutospacing="1" w:afterAutospacing="1"/>
                    <w:rPr>
                      <w:rFonts w:hint="default" w:ascii="Times New Roman" w:hAnsi="Times New Roman" w:eastAsia="宋体" w:cs="Times New Roman"/>
                      <w:snapToGrid w:val="0"/>
                      <w:color w:val="auto"/>
                      <w:szCs w:val="21"/>
                      <w:highlight w:val="none"/>
                    </w:rPr>
                  </w:pPr>
                </w:p>
              </w:tc>
            </w:tr>
          </w:tbl>
          <w:p>
            <w:pPr>
              <w:spacing w:line="500" w:lineRule="exact"/>
              <w:jc w:val="left"/>
              <w:outlineLvl w:val="0"/>
              <w:rPr>
                <w:rFonts w:hint="default" w:ascii="Times New Roman" w:hAnsi="Times New Roman" w:eastAsia="宋体" w:cs="Times New Roman"/>
                <w:color w:val="auto"/>
                <w:sz w:val="24"/>
                <w:highlight w:val="none"/>
              </w:rPr>
            </w:pPr>
            <w:bookmarkStart w:id="5" w:name="_Toc92213073"/>
            <w:r>
              <w:rPr>
                <w:rFonts w:hint="default" w:ascii="Times New Roman" w:hAnsi="Times New Roman" w:eastAsia="宋体" w:cs="Times New Roman"/>
                <w:b/>
                <w:bCs/>
                <w:color w:val="auto"/>
                <w:sz w:val="24"/>
                <w:szCs w:val="22"/>
                <w:highlight w:val="none"/>
              </w:rPr>
              <w:t>3、</w:t>
            </w:r>
            <w:r>
              <w:rPr>
                <w:rFonts w:hint="default" w:ascii="Times New Roman" w:hAnsi="Times New Roman" w:eastAsia="宋体" w:cs="Times New Roman"/>
                <w:b/>
                <w:color w:val="auto"/>
                <w:sz w:val="24"/>
                <w:highlight w:val="none"/>
              </w:rPr>
              <w:t>与《关于在环评审批阶段开展“源头管控行动”的工作意见》（锡环办〔2021〕142号）的相符性分析</w:t>
            </w:r>
            <w:bookmarkEnd w:id="5"/>
          </w:p>
          <w:p>
            <w:pPr>
              <w:spacing w:line="500" w:lineRule="exact"/>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表1-</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 xml:space="preserve">  本项目与</w:t>
            </w:r>
            <w:r>
              <w:rPr>
                <w:rFonts w:hint="default" w:ascii="Times New Roman" w:hAnsi="Times New Roman" w:eastAsia="宋体" w:cs="Times New Roman"/>
                <w:b/>
                <w:color w:val="auto"/>
                <w:sz w:val="24"/>
                <w:szCs w:val="24"/>
                <w:highlight w:val="none"/>
              </w:rPr>
              <w:t>锡环办〔2021〕142号的</w:t>
            </w:r>
            <w:r>
              <w:rPr>
                <w:rFonts w:hint="default" w:ascii="Times New Roman" w:hAnsi="Times New Roman" w:eastAsia="宋体" w:cs="Times New Roman"/>
                <w:b/>
                <w:bCs/>
                <w:color w:val="auto"/>
                <w:sz w:val="24"/>
                <w:szCs w:val="24"/>
                <w:highlight w:val="none"/>
              </w:rPr>
              <w:t>相符性分析</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86"/>
              <w:gridCol w:w="3742"/>
              <w:gridCol w:w="2805"/>
              <w:gridCol w:w="5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498"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2376"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内容</w:t>
                  </w:r>
                </w:p>
              </w:tc>
              <w:tc>
                <w:tcPr>
                  <w:tcW w:w="1781"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c>
                <w:tcPr>
                  <w:tcW w:w="344"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98" w:type="pct"/>
                  <w:vMerge w:val="restar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生产工艺、装备、原料、环境四替代</w:t>
                  </w:r>
                </w:p>
              </w:tc>
              <w:tc>
                <w:tcPr>
                  <w:tcW w:w="2376"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用国际国内先进工艺、装备、低挥发水性溶剂等环境友好型原材料、先进高效的污染治理设施替代传统工艺、普通装备、高挥发性原料、落后的污染治理设施</w:t>
                  </w:r>
                </w:p>
              </w:tc>
              <w:tc>
                <w:tcPr>
                  <w:tcW w:w="1781" w:type="pc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本项目生产设备为国内外先进设备，工艺先进；本项目使用水基型清洗剂</w:t>
                  </w:r>
                </w:p>
              </w:tc>
              <w:tc>
                <w:tcPr>
                  <w:tcW w:w="344"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23" w:hRule="atLeast"/>
              </w:trPr>
              <w:tc>
                <w:tcPr>
                  <w:tcW w:w="499" w:type="pct"/>
                  <w:vMerge w:val="continue"/>
                  <w:noWrap w:val="0"/>
                  <w:vAlign w:val="center"/>
                </w:tcPr>
                <w:p>
                  <w:pPr>
                    <w:jc w:val="center"/>
                    <w:rPr>
                      <w:rFonts w:hint="default" w:ascii="Times New Roman" w:hAnsi="Times New Roman" w:eastAsia="宋体" w:cs="Times New Roman"/>
                      <w:color w:val="auto"/>
                      <w:szCs w:val="21"/>
                      <w:highlight w:val="none"/>
                    </w:rPr>
                  </w:pPr>
                </w:p>
              </w:tc>
              <w:tc>
                <w:tcPr>
                  <w:tcW w:w="2376" w:type="pct"/>
                  <w:noWrap w:val="0"/>
                  <w:vAlign w:val="center"/>
                </w:tcPr>
                <w:p>
                  <w:pPr>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color w:val="auto"/>
                      <w:szCs w:val="21"/>
                      <w:highlight w:val="none"/>
                    </w:rPr>
                    <w:t>从场址选取、厂区布局、厂房设计、设备选型等方面充分考虑环境保护的需求，从源头控制无组织排放、初期雨水收集、环境风险防范等问题。</w:t>
                  </w:r>
                </w:p>
              </w:tc>
              <w:tc>
                <w:tcPr>
                  <w:tcW w:w="1781"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w:t>
                  </w:r>
                  <w:r>
                    <w:rPr>
                      <w:rFonts w:hint="default" w:ascii="Times New Roman" w:hAnsi="Times New Roman" w:eastAsia="宋体" w:cs="Times New Roman"/>
                      <w:color w:val="auto"/>
                      <w:highlight w:val="none"/>
                    </w:rPr>
                    <w:t>位于工业集中区内，</w:t>
                  </w:r>
                  <w:r>
                    <w:rPr>
                      <w:rFonts w:hint="default" w:ascii="Times New Roman" w:hAnsi="Times New Roman" w:eastAsia="宋体" w:cs="Times New Roman"/>
                      <w:color w:val="auto"/>
                      <w:highlight w:val="none"/>
                      <w:lang w:val="en-US" w:eastAsia="zh-CN"/>
                    </w:rPr>
                    <w:t>利</w:t>
                  </w:r>
                  <w:r>
                    <w:rPr>
                      <w:rFonts w:hint="default" w:ascii="Times New Roman" w:hAnsi="Times New Roman" w:eastAsia="宋体" w:cs="Times New Roman"/>
                      <w:color w:val="auto"/>
                      <w:highlight w:val="none"/>
                    </w:rPr>
                    <w:t>用现有标准厂房，从设备选项和布局上已重复考虑环境保护要求，大部分加工设备密闭作业采用管道收集废气。</w:t>
                  </w:r>
                  <w:r>
                    <w:rPr>
                      <w:rFonts w:hint="eastAsia" w:cs="Times New Roman"/>
                      <w:color w:val="auto"/>
                      <w:highlight w:val="none"/>
                      <w:lang w:val="en-US" w:eastAsia="zh-CN"/>
                    </w:rPr>
                    <w:t>厂区</w:t>
                  </w:r>
                  <w:r>
                    <w:rPr>
                      <w:rFonts w:hint="default" w:ascii="Times New Roman" w:hAnsi="Times New Roman" w:eastAsia="宋体" w:cs="Times New Roman"/>
                      <w:color w:val="auto"/>
                      <w:highlight w:val="none"/>
                    </w:rPr>
                    <w:t>雨污分流，与水接管口安装应急切断阀，生产车间、原料仓库、危废仓库、</w:t>
                  </w:r>
                  <w:r>
                    <w:rPr>
                      <w:rFonts w:hint="eastAsia" w:cs="Times New Roman"/>
                      <w:color w:val="auto"/>
                      <w:highlight w:val="none"/>
                      <w:lang w:val="en-US" w:eastAsia="zh-CN"/>
                    </w:rPr>
                    <w:t>污水</w:t>
                  </w:r>
                  <w:r>
                    <w:rPr>
                      <w:rFonts w:hint="default" w:ascii="Times New Roman" w:hAnsi="Times New Roman" w:eastAsia="宋体" w:cs="Times New Roman"/>
                      <w:color w:val="auto"/>
                      <w:highlight w:val="none"/>
                    </w:rPr>
                    <w:t>站等均设置了必要的风险防范设施和应急物资等。</w:t>
                  </w:r>
                </w:p>
              </w:tc>
              <w:tc>
                <w:tcPr>
                  <w:tcW w:w="345"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99" w:type="pct"/>
                  <w:vMerge w:val="continue"/>
                  <w:noWrap w:val="0"/>
                  <w:vAlign w:val="center"/>
                </w:tcPr>
                <w:p>
                  <w:pPr>
                    <w:jc w:val="center"/>
                    <w:rPr>
                      <w:rFonts w:hint="default" w:ascii="Times New Roman" w:hAnsi="Times New Roman" w:eastAsia="宋体" w:cs="Times New Roman"/>
                      <w:color w:val="auto"/>
                      <w:szCs w:val="21"/>
                      <w:highlight w:val="none"/>
                    </w:rPr>
                  </w:pPr>
                </w:p>
              </w:tc>
              <w:tc>
                <w:tcPr>
                  <w:tcW w:w="2376"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工艺选用的各种涂料、厂房建筑用涂料、工业设备防护涂料等，除有特殊要求外，必须选用符合《低挥发性有机化合物含量涂料产品技术要求》(GBT38597-2020)标准的产品。对“两高”项目(当前按煤电、石化、化工、钢铁、有色、建材界定)要严格环境准入，满足总量控制、碳达峰碳中和目标、生态环境准入清单、规划环评及行业建设环境准入条件</w:t>
                  </w:r>
                </w:p>
              </w:tc>
              <w:tc>
                <w:tcPr>
                  <w:tcW w:w="1781"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本项目不涉及涂装等工序，不属于煤电、石化、化工、钢铁、有色、建材等“两高”项目。</w:t>
                  </w:r>
                </w:p>
              </w:tc>
              <w:tc>
                <w:tcPr>
                  <w:tcW w:w="345"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99" w:type="pct"/>
                  <w:vMerge w:val="restar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生产过程中中水回用、物料回收</w:t>
                  </w:r>
                </w:p>
              </w:tc>
              <w:tc>
                <w:tcPr>
                  <w:tcW w:w="2376"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强化项目的节水设计，提高项目中水回用率，新建、改建项目的中水回用水平必须高于行业平均水平，达到国内先进水平以上。</w:t>
                  </w:r>
                </w:p>
              </w:tc>
              <w:tc>
                <w:tcPr>
                  <w:tcW w:w="1781" w:type="pct"/>
                  <w:vMerge w:val="restar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rPr>
                    <w:t>本项目不涉及前述工艺，</w:t>
                  </w:r>
                  <w:r>
                    <w:rPr>
                      <w:rFonts w:hint="default" w:ascii="Times New Roman" w:hAnsi="Times New Roman" w:eastAsia="宋体" w:cs="Times New Roman"/>
                      <w:color w:val="auto"/>
                      <w:kern w:val="0"/>
                      <w:sz w:val="21"/>
                      <w:szCs w:val="21"/>
                      <w:highlight w:val="none"/>
                    </w:rPr>
                    <w:t>新增工艺废水经厂内污水处理站处理</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制纯废水经厂内</w:t>
                  </w:r>
                  <w:r>
                    <w:rPr>
                      <w:rFonts w:hint="eastAsia" w:cs="Times New Roman"/>
                      <w:color w:val="auto"/>
                      <w:sz w:val="21"/>
                      <w:szCs w:val="21"/>
                      <w:highlight w:val="none"/>
                      <w:lang w:val="en-US" w:eastAsia="zh-CN"/>
                    </w:rPr>
                    <w:t>中水回用系统</w:t>
                  </w:r>
                  <w:r>
                    <w:rPr>
                      <w:rFonts w:hint="eastAsia" w:cs="Times New Roman"/>
                      <w:color w:val="auto"/>
                      <w:kern w:val="0"/>
                      <w:sz w:val="21"/>
                      <w:szCs w:val="21"/>
                      <w:highlight w:val="none"/>
                      <w:lang w:val="en-US" w:eastAsia="zh-CN"/>
                    </w:rPr>
                    <w:t>处理后均</w:t>
                  </w:r>
                  <w:r>
                    <w:rPr>
                      <w:rFonts w:hint="default" w:ascii="Times New Roman" w:hAnsi="Times New Roman" w:eastAsia="宋体" w:cs="Times New Roman"/>
                      <w:color w:val="auto"/>
                      <w:kern w:val="0"/>
                      <w:sz w:val="21"/>
                      <w:szCs w:val="21"/>
                      <w:highlight w:val="none"/>
                    </w:rPr>
                    <w:t>回用于中水冷却塔，零排放。新增生活污水经预处理后与</w:t>
                  </w:r>
                  <w:r>
                    <w:rPr>
                      <w:rFonts w:hint="eastAsia" w:cs="Times New Roman"/>
                      <w:color w:val="auto"/>
                      <w:kern w:val="0"/>
                      <w:sz w:val="21"/>
                      <w:szCs w:val="21"/>
                      <w:highlight w:val="none"/>
                      <w:lang w:val="en-US" w:eastAsia="zh-CN"/>
                    </w:rPr>
                    <w:t>制软水废水</w:t>
                  </w:r>
                  <w:r>
                    <w:rPr>
                      <w:rFonts w:hint="default" w:ascii="Times New Roman" w:hAnsi="Times New Roman" w:eastAsia="宋体" w:cs="Times New Roman"/>
                      <w:color w:val="auto"/>
                      <w:kern w:val="0"/>
                      <w:sz w:val="21"/>
                      <w:szCs w:val="21"/>
                      <w:highlight w:val="none"/>
                    </w:rPr>
                    <w:t>接管新城水处理厂集中处理</w:t>
                  </w:r>
                  <w:r>
                    <w:rPr>
                      <w:rFonts w:hint="default" w:ascii="Times New Roman" w:hAnsi="Times New Roman" w:eastAsia="宋体" w:cs="Times New Roman"/>
                      <w:color w:val="auto"/>
                      <w:kern w:val="0"/>
                      <w:highlight w:val="none"/>
                    </w:rPr>
                    <w:t>。</w:t>
                  </w:r>
                </w:p>
              </w:tc>
              <w:tc>
                <w:tcPr>
                  <w:tcW w:w="345" w:type="pct"/>
                  <w:vMerge w:val="restar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96" w:hRule="atLeast"/>
              </w:trPr>
              <w:tc>
                <w:tcPr>
                  <w:tcW w:w="498" w:type="pct"/>
                  <w:vMerge w:val="continue"/>
                  <w:noWrap w:val="0"/>
                  <w:vAlign w:val="center"/>
                </w:tcPr>
                <w:p>
                  <w:pPr>
                    <w:jc w:val="center"/>
                    <w:rPr>
                      <w:rFonts w:hint="default" w:ascii="Times New Roman" w:hAnsi="Times New Roman" w:eastAsia="宋体" w:cs="Times New Roman"/>
                      <w:color w:val="auto"/>
                      <w:szCs w:val="21"/>
                      <w:highlight w:val="none"/>
                    </w:rPr>
                  </w:pPr>
                </w:p>
              </w:tc>
              <w:tc>
                <w:tcPr>
                  <w:tcW w:w="2376"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根据《江苏省太湖水污染防治条例》规定，非战略性新兴产业，不得新增含磷、氮的生产废水。用水量较大的印染、电子等行业必须大幅提高中水回用率。</w:t>
                  </w:r>
                </w:p>
              </w:tc>
              <w:tc>
                <w:tcPr>
                  <w:tcW w:w="1781" w:type="pct"/>
                  <w:vMerge w:val="continue"/>
                  <w:noWrap w:val="0"/>
                  <w:vAlign w:val="center"/>
                </w:tcPr>
                <w:p>
                  <w:pPr>
                    <w:jc w:val="center"/>
                    <w:rPr>
                      <w:rFonts w:hint="default" w:ascii="Times New Roman" w:hAnsi="Times New Roman" w:eastAsia="宋体" w:cs="Times New Roman"/>
                      <w:color w:val="auto"/>
                      <w:szCs w:val="21"/>
                      <w:highlight w:val="none"/>
                    </w:rPr>
                  </w:pPr>
                </w:p>
              </w:tc>
              <w:tc>
                <w:tcPr>
                  <w:tcW w:w="344" w:type="pct"/>
                  <w:vMerge w:val="continue"/>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98" w:type="pct"/>
                  <w:vMerge w:val="continue"/>
                  <w:noWrap w:val="0"/>
                  <w:vAlign w:val="center"/>
                </w:tcPr>
                <w:p>
                  <w:pPr>
                    <w:jc w:val="center"/>
                    <w:rPr>
                      <w:rFonts w:hint="default" w:ascii="Times New Roman" w:hAnsi="Times New Roman" w:eastAsia="宋体" w:cs="Times New Roman"/>
                      <w:color w:val="auto"/>
                      <w:szCs w:val="21"/>
                      <w:highlight w:val="none"/>
                    </w:rPr>
                  </w:pPr>
                </w:p>
              </w:tc>
              <w:tc>
                <w:tcPr>
                  <w:tcW w:w="2376"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冷却水强排水、反渗透(RO)尾水等“清净下水”必须按照生产废水接管，不得接入雨水口排放。</w:t>
                  </w:r>
                </w:p>
              </w:tc>
              <w:tc>
                <w:tcPr>
                  <w:tcW w:w="1781" w:type="pc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本项目</w:t>
                  </w:r>
                  <w:r>
                    <w:rPr>
                      <w:rFonts w:hint="default" w:ascii="Times New Roman" w:hAnsi="Times New Roman" w:eastAsia="宋体" w:cs="Times New Roman"/>
                      <w:color w:val="auto"/>
                      <w:szCs w:val="21"/>
                      <w:highlight w:val="none"/>
                      <w:lang w:val="en-US" w:eastAsia="zh-CN"/>
                    </w:rPr>
                    <w:t>不涉及。</w:t>
                  </w:r>
                </w:p>
              </w:tc>
              <w:tc>
                <w:tcPr>
                  <w:tcW w:w="344"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98" w:type="pct"/>
                  <w:vMerge w:val="continue"/>
                  <w:noWrap w:val="0"/>
                  <w:vAlign w:val="center"/>
                </w:tcPr>
                <w:p>
                  <w:pPr>
                    <w:jc w:val="center"/>
                    <w:rPr>
                      <w:rFonts w:hint="default" w:ascii="Times New Roman" w:hAnsi="Times New Roman" w:eastAsia="宋体" w:cs="Times New Roman"/>
                      <w:color w:val="auto"/>
                      <w:szCs w:val="21"/>
                      <w:highlight w:val="none"/>
                    </w:rPr>
                  </w:pPr>
                </w:p>
              </w:tc>
              <w:tc>
                <w:tcPr>
                  <w:tcW w:w="2376"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强化生产过程中的物料回收利用，鼓励有条件的挥发性有机物排放企业(如印刷、包装类企业)通过冷凝、吸附、吸收等技术实现物料回用</w:t>
                  </w:r>
                </w:p>
              </w:tc>
              <w:tc>
                <w:tcPr>
                  <w:tcW w:w="1781"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本项目一般固废由废品回收单位进行资源化回收；</w:t>
                  </w:r>
                  <w:r>
                    <w:rPr>
                      <w:rFonts w:hint="eastAsia" w:cs="Times New Roman"/>
                      <w:color w:val="auto"/>
                      <w:szCs w:val="21"/>
                      <w:highlight w:val="none"/>
                      <w:lang w:val="en-US" w:eastAsia="zh-CN"/>
                    </w:rPr>
                    <w:t>无废气产生</w:t>
                  </w:r>
                  <w:r>
                    <w:rPr>
                      <w:rFonts w:hint="default" w:ascii="Times New Roman" w:hAnsi="Times New Roman" w:eastAsia="宋体" w:cs="Times New Roman"/>
                      <w:color w:val="auto"/>
                      <w:szCs w:val="21"/>
                      <w:highlight w:val="none"/>
                      <w:lang w:eastAsia="zh-Hans"/>
                    </w:rPr>
                    <w:t>。</w:t>
                  </w:r>
                </w:p>
              </w:tc>
              <w:tc>
                <w:tcPr>
                  <w:tcW w:w="344"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98" w:type="pct"/>
                  <w:vMerge w:val="continue"/>
                  <w:noWrap w:val="0"/>
                  <w:vAlign w:val="center"/>
                </w:tcPr>
                <w:p>
                  <w:pPr>
                    <w:jc w:val="center"/>
                    <w:rPr>
                      <w:rFonts w:hint="default" w:ascii="Times New Roman" w:hAnsi="Times New Roman" w:eastAsia="宋体" w:cs="Times New Roman"/>
                      <w:color w:val="auto"/>
                      <w:szCs w:val="21"/>
                      <w:highlight w:val="none"/>
                    </w:rPr>
                  </w:pPr>
                </w:p>
              </w:tc>
              <w:tc>
                <w:tcPr>
                  <w:tcW w:w="2376"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强化固体废物源头减量和综合利用，配套的回收利用设施必须达到主生产装置同样的设计水平和环保要求，提升回收效率，需外送利用处置固体废物和危险废物的，在本市应具有稳定可靠的承接单位。</w:t>
                  </w:r>
                </w:p>
              </w:tc>
              <w:tc>
                <w:tcPr>
                  <w:tcW w:w="1781"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本项目危险废物均委托有资质的单位处置，一般工业固废由回收单位回收利用，生活垃圾由环卫部门统一收集处理。</w:t>
                  </w:r>
                </w:p>
              </w:tc>
              <w:tc>
                <w:tcPr>
                  <w:tcW w:w="344"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98" w:type="pct"/>
                  <w:vMerge w:val="restar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治污设施提高标准、提高效率</w:t>
                  </w:r>
                </w:p>
              </w:tc>
              <w:tc>
                <w:tcPr>
                  <w:tcW w:w="2376"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审批阶段必须征求水、气、固体等要素部门意见，审核项目污染防治措施是否已达到目前上级要求的最先进水平，未达最严标准、最新要求的一律不得审批。要按照所属行业的《排污许可证申请与核发技术规范》要求，选择采用可行性技术，提高治污设施的标准和要求，对于未采用污染防治可行技术的项目不予受理；鼓励采用具备应用案例或中试数据等条件的新型污染防治技术。</w:t>
                  </w:r>
                </w:p>
              </w:tc>
              <w:tc>
                <w:tcPr>
                  <w:tcW w:w="1781"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本项目无</w:t>
                  </w:r>
                  <w:r>
                    <w:rPr>
                      <w:rFonts w:hint="eastAsia" w:cs="Times New Roman"/>
                      <w:color w:val="auto"/>
                      <w:szCs w:val="21"/>
                      <w:highlight w:val="none"/>
                      <w:lang w:val="en-US" w:eastAsia="zh-CN"/>
                    </w:rPr>
                    <w:t>废气</w:t>
                  </w:r>
                  <w:r>
                    <w:rPr>
                      <w:rFonts w:hint="default" w:ascii="Times New Roman" w:hAnsi="Times New Roman" w:eastAsia="宋体" w:cs="Times New Roman"/>
                      <w:color w:val="auto"/>
                      <w:szCs w:val="21"/>
                      <w:highlight w:val="none"/>
                    </w:rPr>
                    <w:t>产生，一般固废尽量回收利用，危险废物均委托有资质的单位处置。</w:t>
                  </w:r>
                </w:p>
              </w:tc>
              <w:tc>
                <w:tcPr>
                  <w:tcW w:w="344"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98" w:type="pct"/>
                  <w:vMerge w:val="continue"/>
                  <w:noWrap w:val="0"/>
                  <w:vAlign w:val="center"/>
                </w:tcPr>
                <w:p>
                  <w:pPr>
                    <w:jc w:val="center"/>
                    <w:rPr>
                      <w:rFonts w:hint="default" w:ascii="Times New Roman" w:hAnsi="Times New Roman" w:eastAsia="宋体" w:cs="Times New Roman"/>
                      <w:color w:val="auto"/>
                      <w:szCs w:val="21"/>
                      <w:highlight w:val="none"/>
                    </w:rPr>
                  </w:pPr>
                </w:p>
              </w:tc>
              <w:tc>
                <w:tcPr>
                  <w:tcW w:w="2376"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涉挥发性有机物排放的项目，必须严格落实国家《重点行业挥发性有机物综合治理方案》的要求，对挥发性有机物要有效收集、提高效率,鼓励釆用吸附、吸收、生物净化、催化燃烧、蓄热燃烧等多种治理技术联合应用的工艺路线；确保稳定达标并符合《挥发性有机物无组织排放控制标准》的相关要求。对于无组织排放点多、难以有效收集的情况，要整体建设负压车间，对含挥发性有机物的废气进行全收集和治理。对涉水、涉气重点项目，必须要求安装用电工况和自动在线监控设备设施并联网。新建天然气锅炉必须釆用低氮燃烧技术，工业炉窑达到深度治理要求。</w:t>
                  </w:r>
                </w:p>
              </w:tc>
              <w:tc>
                <w:tcPr>
                  <w:tcW w:w="1781"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本项目</w:t>
                  </w:r>
                  <w:r>
                    <w:rPr>
                      <w:rFonts w:hint="default" w:ascii="Times New Roman" w:hAnsi="Times New Roman" w:eastAsia="宋体" w:cs="Times New Roman"/>
                      <w:color w:val="auto"/>
                      <w:szCs w:val="21"/>
                      <w:highlight w:val="none"/>
                    </w:rPr>
                    <w:t>不涉及锅炉、工业炉窑。</w:t>
                  </w:r>
                </w:p>
              </w:tc>
              <w:tc>
                <w:tcPr>
                  <w:tcW w:w="344"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bl>
          <w:p>
            <w:pPr>
              <w:autoSpaceDE w:val="0"/>
              <w:autoSpaceDN w:val="0"/>
              <w:adjustRightInd w:val="0"/>
              <w:snapToGrid w:val="0"/>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由上表可知，本项目符合《关于在环评审批阶段开展“源头管控行动”的工作意见》文件要求。</w:t>
            </w:r>
            <w:bookmarkStart w:id="6" w:name="_Toc92213074"/>
          </w:p>
          <w:p>
            <w:pPr>
              <w:pStyle w:val="77"/>
              <w:snapToGrid w:val="0"/>
              <w:spacing w:line="500" w:lineRule="exact"/>
              <w:ind w:firstLine="482"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4、与“三线一单”相符性分析</w:t>
            </w:r>
            <w:bookmarkEnd w:id="6"/>
          </w:p>
          <w:p>
            <w:pPr>
              <w:adjustRightInd w:val="0"/>
              <w:snapToGrid w:val="0"/>
              <w:spacing w:line="500" w:lineRule="exact"/>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（1）生态红线</w:t>
            </w:r>
          </w:p>
          <w:p>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highlight w:val="none"/>
              </w:rPr>
            </w:pPr>
            <w:r>
              <w:rPr>
                <w:color w:val="000000"/>
                <w:sz w:val="24"/>
              </w:rPr>
              <w:t>本项目位于无锡市新吴区新华路17号，</w:t>
            </w:r>
            <w:r>
              <w:rPr>
                <w:rFonts w:hint="eastAsia"/>
                <w:color w:val="000000"/>
                <w:sz w:val="24"/>
              </w:rPr>
              <w:t>根据</w:t>
            </w:r>
            <w:r>
              <w:rPr>
                <w:color w:val="000000"/>
                <w:sz w:val="24"/>
              </w:rPr>
              <w:t>《江苏省国家级生态保护红线规划》（苏政发[2018]74号）</w:t>
            </w:r>
            <w:r>
              <w:rPr>
                <w:rFonts w:hint="eastAsia"/>
                <w:color w:val="000000"/>
                <w:sz w:val="24"/>
              </w:rPr>
              <w:t>和</w:t>
            </w:r>
            <w:r>
              <w:rPr>
                <w:color w:val="000000"/>
                <w:sz w:val="24"/>
              </w:rPr>
              <w:t>《江苏省生态</w:t>
            </w:r>
            <w:r>
              <w:rPr>
                <w:rFonts w:hint="eastAsia"/>
                <w:color w:val="000000"/>
                <w:sz w:val="24"/>
              </w:rPr>
              <w:t>空间管控</w:t>
            </w:r>
            <w:r>
              <w:rPr>
                <w:color w:val="000000"/>
                <w:sz w:val="24"/>
              </w:rPr>
              <w:t>区域规划》</w:t>
            </w:r>
            <w:r>
              <w:rPr>
                <w:bCs/>
                <w:color w:val="000000"/>
                <w:sz w:val="24"/>
              </w:rPr>
              <w:t>（苏政发[20</w:t>
            </w:r>
            <w:r>
              <w:rPr>
                <w:rFonts w:hint="eastAsia"/>
                <w:bCs/>
                <w:color w:val="000000"/>
                <w:sz w:val="24"/>
              </w:rPr>
              <w:t>20</w:t>
            </w:r>
            <w:r>
              <w:rPr>
                <w:bCs/>
                <w:color w:val="000000"/>
                <w:sz w:val="24"/>
              </w:rPr>
              <w:t>]1号）</w:t>
            </w:r>
            <w:r>
              <w:rPr>
                <w:rFonts w:hint="eastAsia"/>
                <w:color w:val="000000"/>
                <w:sz w:val="24"/>
              </w:rPr>
              <w:t>，本项目不涉及国家和省级的生态保护区域，</w:t>
            </w:r>
            <w:r>
              <w:rPr>
                <w:color w:val="000000"/>
                <w:sz w:val="24"/>
              </w:rPr>
              <w:t>与本项目最近</w:t>
            </w:r>
            <w:r>
              <w:rPr>
                <w:rFonts w:hint="eastAsia"/>
                <w:color w:val="000000"/>
                <w:sz w:val="24"/>
              </w:rPr>
              <w:t>的</w:t>
            </w:r>
            <w:r>
              <w:rPr>
                <w:color w:val="000000"/>
                <w:sz w:val="24"/>
              </w:rPr>
              <w:t>生态红线保护目标</w:t>
            </w:r>
            <w:r>
              <w:rPr>
                <w:rFonts w:hint="eastAsia"/>
                <w:color w:val="000000"/>
                <w:sz w:val="24"/>
              </w:rPr>
              <w:t>详见</w:t>
            </w:r>
            <w:r>
              <w:rPr>
                <w:color w:val="000000"/>
                <w:sz w:val="24"/>
              </w:rPr>
              <w:t>下表</w:t>
            </w:r>
            <w:r>
              <w:rPr>
                <w:rFonts w:hint="default" w:ascii="Times New Roman" w:hAnsi="Times New Roman" w:eastAsia="宋体" w:cs="Times New Roman"/>
                <w:bCs/>
                <w:color w:val="auto"/>
                <w:sz w:val="24"/>
                <w:highlight w:val="none"/>
              </w:rPr>
              <w:t>。</w:t>
            </w:r>
          </w:p>
          <w:p>
            <w:pPr>
              <w:spacing w:line="500" w:lineRule="exact"/>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表1-</w:t>
            </w: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 xml:space="preserve">  重要生态功能区一览表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92"/>
              <w:gridCol w:w="862"/>
              <w:gridCol w:w="986"/>
              <w:gridCol w:w="739"/>
              <w:gridCol w:w="862"/>
              <w:gridCol w:w="984"/>
              <w:gridCol w:w="1265"/>
              <w:gridCol w:w="16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3" w:type="pct"/>
                  <w:noWrap w:val="0"/>
                  <w:vAlign w:val="center"/>
                </w:tcPr>
                <w:p>
                  <w:pPr>
                    <w:autoSpaceDE w:val="0"/>
                    <w:autoSpaceDN w:val="0"/>
                    <w:adjustRightInd w:val="0"/>
                    <w:snapToGrid w:val="0"/>
                    <w:contextualSpacing/>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环境要素</w:t>
                  </w:r>
                </w:p>
              </w:tc>
              <w:tc>
                <w:tcPr>
                  <w:tcW w:w="1173" w:type="pct"/>
                  <w:gridSpan w:val="2"/>
                  <w:noWrap w:val="0"/>
                  <w:vAlign w:val="center"/>
                </w:tcPr>
                <w:p>
                  <w:pPr>
                    <w:autoSpaceDE w:val="0"/>
                    <w:autoSpaceDN w:val="0"/>
                    <w:adjustRightInd w:val="0"/>
                    <w:snapToGrid w:val="0"/>
                    <w:contextualSpacing/>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生态红线名称</w:t>
                  </w:r>
                </w:p>
              </w:tc>
              <w:tc>
                <w:tcPr>
                  <w:tcW w:w="469" w:type="pct"/>
                  <w:noWrap w:val="0"/>
                  <w:vAlign w:val="center"/>
                </w:tcPr>
                <w:p>
                  <w:pPr>
                    <w:autoSpaceDE w:val="0"/>
                    <w:autoSpaceDN w:val="0"/>
                    <w:adjustRightInd w:val="0"/>
                    <w:snapToGrid w:val="0"/>
                    <w:contextualSpacing/>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主导生态功能</w:t>
                  </w:r>
                </w:p>
              </w:tc>
              <w:tc>
                <w:tcPr>
                  <w:tcW w:w="547" w:type="pct"/>
                  <w:noWrap w:val="0"/>
                  <w:vAlign w:val="center"/>
                </w:tcPr>
                <w:p>
                  <w:pPr>
                    <w:autoSpaceDE w:val="0"/>
                    <w:autoSpaceDN w:val="0"/>
                    <w:adjustRightInd w:val="0"/>
                    <w:snapToGrid w:val="0"/>
                    <w:contextualSpacing/>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方位</w:t>
                  </w:r>
                </w:p>
              </w:tc>
              <w:tc>
                <w:tcPr>
                  <w:tcW w:w="625" w:type="pct"/>
                  <w:noWrap w:val="0"/>
                  <w:vAlign w:val="center"/>
                </w:tcPr>
                <w:p>
                  <w:pPr>
                    <w:autoSpaceDE w:val="0"/>
                    <w:autoSpaceDN w:val="0"/>
                    <w:adjustRightInd w:val="0"/>
                    <w:snapToGrid w:val="0"/>
                    <w:contextualSpacing/>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距离（m）</w:t>
                  </w:r>
                </w:p>
              </w:tc>
              <w:tc>
                <w:tcPr>
                  <w:tcW w:w="803" w:type="pct"/>
                  <w:noWrap w:val="0"/>
                  <w:vAlign w:val="center"/>
                </w:tcPr>
                <w:p>
                  <w:pPr>
                    <w:autoSpaceDE w:val="0"/>
                    <w:autoSpaceDN w:val="0"/>
                    <w:adjustRightInd w:val="0"/>
                    <w:snapToGrid w:val="0"/>
                    <w:spacing w:line="360" w:lineRule="exact"/>
                    <w:contextualSpacing/>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红线区域范围</w:t>
                  </w:r>
                </w:p>
              </w:tc>
              <w:tc>
                <w:tcPr>
                  <w:tcW w:w="1072" w:type="pct"/>
                  <w:noWrap w:val="0"/>
                  <w:vAlign w:val="center"/>
                </w:tcPr>
                <w:p>
                  <w:pPr>
                    <w:autoSpaceDE w:val="0"/>
                    <w:autoSpaceDN w:val="0"/>
                    <w:adjustRightInd w:val="0"/>
                    <w:snapToGrid w:val="0"/>
                    <w:spacing w:line="360" w:lineRule="exact"/>
                    <w:contextualSpacing/>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生态红线类别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3" w:type="pct"/>
                  <w:vMerge w:val="restart"/>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w:t>
                  </w:r>
                </w:p>
              </w:tc>
              <w:tc>
                <w:tcPr>
                  <w:tcW w:w="547" w:type="pct"/>
                  <w:vMerge w:val="restart"/>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贡湖锡东饮用水水源保护区</w:t>
                  </w:r>
                </w:p>
              </w:tc>
              <w:tc>
                <w:tcPr>
                  <w:tcW w:w="625" w:type="pct"/>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一级保护区</w:t>
                  </w:r>
                </w:p>
              </w:tc>
              <w:tc>
                <w:tcPr>
                  <w:tcW w:w="469" w:type="pct"/>
                  <w:vMerge w:val="restart"/>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水源水质保护</w:t>
                  </w:r>
                </w:p>
              </w:tc>
              <w:tc>
                <w:tcPr>
                  <w:tcW w:w="547" w:type="pct"/>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西南</w:t>
                  </w:r>
                </w:p>
              </w:tc>
              <w:tc>
                <w:tcPr>
                  <w:tcW w:w="625" w:type="pct"/>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8500</w:t>
                  </w:r>
                </w:p>
              </w:tc>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16.605km</w:t>
                  </w:r>
                  <w:r>
                    <w:rPr>
                      <w:rFonts w:hint="default" w:ascii="Times New Roman" w:hAnsi="Times New Roman" w:eastAsia="宋体" w:cs="Times New Roman"/>
                      <w:bCs/>
                      <w:color w:val="auto"/>
                      <w:szCs w:val="21"/>
                      <w:highlight w:val="none"/>
                      <w:vertAlign w:val="superscript"/>
                    </w:rPr>
                    <w:t>2</w:t>
                  </w:r>
                </w:p>
              </w:tc>
              <w:tc>
                <w:tcPr>
                  <w:tcW w:w="1072" w:type="pct"/>
                  <w:vMerge w:val="restart"/>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江苏省国家级生态保护红线规划区域。生态环境功能为：水源水质保护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3" w:type="pct"/>
                  <w:vMerge w:val="continue"/>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szCs w:val="21"/>
                      <w:highlight w:val="none"/>
                    </w:rPr>
                  </w:pPr>
                </w:p>
              </w:tc>
              <w:tc>
                <w:tcPr>
                  <w:tcW w:w="547" w:type="pct"/>
                  <w:vMerge w:val="continue"/>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szCs w:val="21"/>
                      <w:highlight w:val="none"/>
                    </w:rPr>
                  </w:pPr>
                </w:p>
              </w:tc>
              <w:tc>
                <w:tcPr>
                  <w:tcW w:w="625" w:type="pct"/>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二级保护区</w:t>
                  </w:r>
                </w:p>
              </w:tc>
              <w:tc>
                <w:tcPr>
                  <w:tcW w:w="469" w:type="pct"/>
                  <w:vMerge w:val="continue"/>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szCs w:val="21"/>
                      <w:highlight w:val="none"/>
                    </w:rPr>
                  </w:pPr>
                </w:p>
              </w:tc>
              <w:tc>
                <w:tcPr>
                  <w:tcW w:w="547" w:type="pct"/>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西南</w:t>
                  </w:r>
                </w:p>
              </w:tc>
              <w:tc>
                <w:tcPr>
                  <w:tcW w:w="625" w:type="pct"/>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6500</w:t>
                  </w:r>
                </w:p>
              </w:tc>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0.785 km</w:t>
                  </w:r>
                  <w:r>
                    <w:rPr>
                      <w:rFonts w:hint="default" w:ascii="Times New Roman" w:hAnsi="Times New Roman" w:eastAsia="宋体" w:cs="Times New Roman"/>
                      <w:bCs/>
                      <w:color w:val="auto"/>
                      <w:szCs w:val="21"/>
                      <w:highlight w:val="none"/>
                      <w:vertAlign w:val="superscript"/>
                    </w:rPr>
                    <w:t>2</w:t>
                  </w:r>
                </w:p>
              </w:tc>
              <w:tc>
                <w:tcPr>
                  <w:tcW w:w="1072" w:type="pct"/>
                  <w:vMerge w:val="continue"/>
                  <w:noWrap w:val="0"/>
                  <w:vAlign w:val="center"/>
                </w:tcPr>
                <w:p>
                  <w:pPr>
                    <w:autoSpaceDE w:val="0"/>
                    <w:autoSpaceDN w:val="0"/>
                    <w:adjustRightInd w:val="0"/>
                    <w:snapToGrid w:val="0"/>
                    <w:contextualSpacing/>
                    <w:jc w:val="center"/>
                    <w:rPr>
                      <w:rFonts w:hint="default" w:ascii="Times New Roman" w:hAnsi="Times New Roman" w:eastAsia="宋体" w:cs="Times New Roman"/>
                      <w:color w:val="auto"/>
                      <w:highlight w:val="none"/>
                    </w:rPr>
                  </w:pP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highlight w:val="none"/>
              </w:rPr>
            </w:pPr>
            <w:r>
              <w:rPr>
                <w:snapToGrid w:val="0"/>
                <w:color w:val="000000"/>
                <w:kern w:val="0"/>
                <w:sz w:val="24"/>
              </w:rPr>
              <w:t>由上表可知，</w:t>
            </w:r>
            <w:r>
              <w:rPr>
                <w:bCs/>
                <w:color w:val="000000"/>
                <w:sz w:val="24"/>
              </w:rPr>
              <w:t>项目选址符合《江苏省国家级生态保护红线规划》（苏政发[2018]74号）以及</w:t>
            </w:r>
            <w:r>
              <w:rPr>
                <w:color w:val="000000"/>
                <w:sz w:val="24"/>
              </w:rPr>
              <w:t>《江苏省生态</w:t>
            </w:r>
            <w:r>
              <w:rPr>
                <w:rFonts w:hint="eastAsia"/>
                <w:color w:val="000000"/>
                <w:sz w:val="24"/>
              </w:rPr>
              <w:t>空间管控</w:t>
            </w:r>
            <w:r>
              <w:rPr>
                <w:color w:val="000000"/>
                <w:sz w:val="24"/>
              </w:rPr>
              <w:t>区域规划》</w:t>
            </w:r>
            <w:r>
              <w:rPr>
                <w:bCs/>
                <w:color w:val="000000"/>
                <w:sz w:val="24"/>
              </w:rPr>
              <w:t>（苏政发[20</w:t>
            </w:r>
            <w:r>
              <w:rPr>
                <w:rFonts w:hint="eastAsia"/>
                <w:bCs/>
                <w:color w:val="000000"/>
                <w:sz w:val="24"/>
              </w:rPr>
              <w:t>20</w:t>
            </w:r>
            <w:r>
              <w:rPr>
                <w:bCs/>
                <w:color w:val="000000"/>
                <w:sz w:val="24"/>
              </w:rPr>
              <w:t>]1号）中的相关要求。</w:t>
            </w:r>
            <w:r>
              <w:rPr>
                <w:rFonts w:hint="eastAsia"/>
                <w:bCs/>
                <w:color w:val="000000"/>
                <w:sz w:val="24"/>
                <w:lang w:val="en-US" w:eastAsia="zh-CN"/>
              </w:rPr>
              <w:t>本项目</w:t>
            </w:r>
            <w:r>
              <w:rPr>
                <w:rFonts w:hint="default" w:ascii="Times New Roman" w:hAnsi="Times New Roman" w:eastAsia="宋体" w:cs="Times New Roman"/>
                <w:color w:val="auto"/>
                <w:sz w:val="24"/>
                <w:highlight w:val="none"/>
              </w:rPr>
              <w:t>新增工艺废水经厂内污水处理站处理，制纯废水经厂内中水回用系统处理后</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均回用于中水冷却塔，零排放。新增生活污水经预处理后与制软水废水接管新城水处理厂集中处理；各类固体废物分类收集暂存和处理处置，不会导致无锡市辖区内生态红线区域服务功能下降。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（2）环境质量底线</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①大气质量状况：项目所在地大气环境为环境空气质量功能二类地区，根据《2021年度无锡市生态环境状况公报》的无锡市区基本污染物质量监测数据，评价区O</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未能达到《环境空气质量标准》（GB3095-2012）的二级标准；无锡市已制定大气环境质量限期达标规划，按照规划实施结果，近期、远期大气环境质量状况均可以得到有效的改善。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②水环境质量状况：建设项目周边主要水体为江南运河，江南运河新城水处理厂上游500米、下游1000米监测断面COD、SS、氨氮、总磷等监测值能满足《地表水环境质量标准》（GB 3838-2002）Ⅳ类标准要求。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③声环境质量状况：项目所在地声环境质量满足《声环境质量标准》（GB3096-2008）3类声环境功能区噪声要求。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本项目建设后营运期产生的各项污染物通过相应的治理措施处理后均可达标排放，项目环境风险可控制在安全范围内，因此，本项目的建设对区域环境质量影响较小，符合环境质量底线的相关规定要求。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（3）资源利用上线</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项目用水来自区域自来水管网，用电由市政电网供给，不会达到资源利用上线；项目用地为工业用地，符合当地土地规划要求，亦不会达到资源利用上线。</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（4）环境准入负面清单</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lang w:eastAsia="zh-Hans"/>
              </w:rPr>
            </w:pPr>
            <w:r>
              <w:rPr>
                <w:rFonts w:hint="default" w:ascii="Times New Roman" w:hAnsi="Times New Roman" w:eastAsia="宋体" w:cs="Times New Roman"/>
                <w:color w:val="auto"/>
                <w:sz w:val="24"/>
                <w:highlight w:val="none"/>
              </w:rPr>
              <w:t>本项目不属于《</w:t>
            </w:r>
            <w:r>
              <w:rPr>
                <w:rFonts w:hint="default" w:ascii="Times New Roman" w:hAnsi="Times New Roman" w:eastAsia="宋体" w:cs="Times New Roman"/>
                <w:color w:val="auto"/>
                <w:sz w:val="24"/>
                <w:highlight w:val="none"/>
                <w:lang w:val="en-US" w:eastAsia="zh-Hans"/>
              </w:rPr>
              <w:t>外商投资准入特别管理措施</w:t>
            </w:r>
            <w:r>
              <w:rPr>
                <w:rFonts w:hint="default" w:ascii="Times New Roman" w:hAnsi="Times New Roman" w:eastAsia="宋体" w:cs="Times New Roman"/>
                <w:color w:val="auto"/>
                <w:sz w:val="24"/>
                <w:highlight w:val="none"/>
              </w:rPr>
              <w:t>（负面清单）》（2021版）中的</w:t>
            </w:r>
            <w:r>
              <w:rPr>
                <w:rFonts w:hint="default" w:ascii="Times New Roman" w:hAnsi="Times New Roman" w:eastAsia="宋体" w:cs="Times New Roman"/>
                <w:color w:val="auto"/>
                <w:sz w:val="24"/>
                <w:highlight w:val="none"/>
                <w:lang w:val="en-US" w:eastAsia="zh-Hans"/>
              </w:rPr>
              <w:t>禁止类</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Hans"/>
              </w:rPr>
              <w:t>不属于</w:t>
            </w:r>
            <w:r>
              <w:rPr>
                <w:rFonts w:hint="default" w:ascii="Times New Roman" w:hAnsi="Times New Roman" w:eastAsia="宋体" w:cs="Times New Roman"/>
                <w:color w:val="auto"/>
                <w:sz w:val="24"/>
                <w:highlight w:val="none"/>
                <w:lang w:eastAsia="zh-Hans"/>
              </w:rPr>
              <w:t>《</w:t>
            </w:r>
            <w:r>
              <w:rPr>
                <w:rFonts w:hint="default" w:ascii="Times New Roman" w:hAnsi="Times New Roman" w:eastAsia="宋体" w:cs="Times New Roman"/>
                <w:color w:val="auto"/>
                <w:sz w:val="24"/>
                <w:highlight w:val="none"/>
                <w:lang w:val="en-US" w:eastAsia="zh-Hans"/>
              </w:rPr>
              <w:t>市场准入负面清单</w:t>
            </w:r>
            <w:r>
              <w:rPr>
                <w:rFonts w:hint="default" w:ascii="Times New Roman" w:hAnsi="Times New Roman" w:eastAsia="宋体" w:cs="Times New Roman"/>
                <w:color w:val="auto"/>
                <w:sz w:val="24"/>
                <w:highlight w:val="none"/>
                <w:lang w:eastAsia="zh-Hans"/>
              </w:rPr>
              <w:t>》（2022</w:t>
            </w:r>
            <w:r>
              <w:rPr>
                <w:rFonts w:hint="default" w:ascii="Times New Roman" w:hAnsi="Times New Roman" w:eastAsia="宋体" w:cs="Times New Roman"/>
                <w:color w:val="auto"/>
                <w:sz w:val="24"/>
                <w:highlight w:val="none"/>
                <w:lang w:val="en-US" w:eastAsia="zh-Hans"/>
              </w:rPr>
              <w:t>年版</w:t>
            </w:r>
            <w:r>
              <w:rPr>
                <w:rFonts w:hint="default" w:ascii="Times New Roman" w:hAnsi="Times New Roman" w:eastAsia="宋体" w:cs="Times New Roman"/>
                <w:color w:val="auto"/>
                <w:sz w:val="24"/>
                <w:highlight w:val="none"/>
                <w:lang w:eastAsia="zh-Hans"/>
              </w:rPr>
              <w:t>）</w:t>
            </w:r>
            <w:r>
              <w:rPr>
                <w:rFonts w:hint="default" w:ascii="Times New Roman" w:hAnsi="Times New Roman" w:eastAsia="宋体" w:cs="Times New Roman"/>
                <w:color w:val="auto"/>
                <w:sz w:val="24"/>
                <w:highlight w:val="none"/>
                <w:lang w:val="en-US" w:eastAsia="zh-Hans"/>
              </w:rPr>
              <w:t>中的禁止准入类</w:t>
            </w:r>
            <w:r>
              <w:rPr>
                <w:rFonts w:hint="default" w:ascii="Times New Roman" w:hAnsi="Times New Roman" w:eastAsia="宋体" w:cs="Times New Roman"/>
                <w:color w:val="auto"/>
                <w:sz w:val="24"/>
                <w:highlight w:val="none"/>
                <w:lang w:eastAsia="zh-Hans"/>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位于无锡市新吴区新华路17号，根据《无锡市“三线一单”生态环境分区管控实施方案》，位于无锡市新吴区环境管控单元内，属重点管控单元。结合方案中表7中无锡市新吴区“三线一单”环境准入清单——无锡国家高新技术产业开发区的内容以及《无锡国家高新技术产业开发区发展规划环境影响跟踪报告书》中高新区环境准入负面清单的要求，本项目相符性分析详见下表：</w:t>
            </w:r>
          </w:p>
          <w:p>
            <w:pPr>
              <w:autoSpaceDE w:val="0"/>
              <w:autoSpaceDN w:val="0"/>
              <w:adjustRightInd w:val="0"/>
              <w:snapToGrid w:val="0"/>
              <w:spacing w:line="440" w:lineRule="exact"/>
              <w:ind w:left="35"/>
              <w:jc w:val="center"/>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sz w:val="24"/>
                <w:highlight w:val="none"/>
              </w:rPr>
              <w:t>表1</w:t>
            </w:r>
            <w:r>
              <w:rPr>
                <w:rFonts w:hint="default"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kern w:val="0"/>
                <w:sz w:val="24"/>
                <w:szCs w:val="21"/>
                <w:highlight w:val="none"/>
              </w:rPr>
              <w:t xml:space="preserve"> 本项目与高新区环境准入清单的相符性分析</w:t>
            </w:r>
          </w:p>
          <w:tbl>
            <w:tblPr>
              <w:tblStyle w:val="21"/>
              <w:tblW w:w="494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37"/>
              <w:gridCol w:w="576"/>
              <w:gridCol w:w="3376"/>
              <w:gridCol w:w="1826"/>
              <w:gridCol w:w="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58"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对照文件</w:t>
                  </w:r>
                </w:p>
              </w:tc>
              <w:tc>
                <w:tcPr>
                  <w:tcW w:w="2537" w:type="pct"/>
                  <w:gridSpan w:val="2"/>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内容</w:t>
                  </w:r>
                </w:p>
              </w:tc>
              <w:tc>
                <w:tcPr>
                  <w:tcW w:w="1172"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本项目情况</w:t>
                  </w:r>
                </w:p>
              </w:tc>
              <w:tc>
                <w:tcPr>
                  <w:tcW w:w="433"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58" w:type="pct"/>
                  <w:vMerge w:val="restart"/>
                  <w:noWrap w:val="0"/>
                  <w:vAlign w:val="center"/>
                </w:tcPr>
                <w:p>
                  <w:pPr>
                    <w:ind w:firstLine="33" w:firstLineChars="16"/>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《无锡国家高新技术产业开发区发展规划环境影响跟踪报告书》相关环境准入要求</w:t>
                  </w:r>
                </w:p>
              </w:tc>
              <w:tc>
                <w:tcPr>
                  <w:tcW w:w="2537" w:type="pct"/>
                  <w:gridSpan w:val="2"/>
                  <w:noWrap w:val="0"/>
                  <w:vAlign w:val="center"/>
                </w:tcPr>
                <w:p>
                  <w:pPr>
                    <w:ind w:firstLine="525" w:firstLineChars="25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高新区A区禁止新建排放硫酸雾、盐酸雾的项目</w:t>
                  </w:r>
                </w:p>
              </w:tc>
              <w:tc>
                <w:tcPr>
                  <w:tcW w:w="1172"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本项目不排放硫酸雾、盐酸雾</w:t>
                  </w:r>
                </w:p>
              </w:tc>
              <w:tc>
                <w:tcPr>
                  <w:tcW w:w="43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58" w:type="pct"/>
                  <w:vMerge w:val="continue"/>
                  <w:noWrap w:val="0"/>
                  <w:vAlign w:val="center"/>
                </w:tcPr>
                <w:p>
                  <w:pPr>
                    <w:ind w:firstLine="420" w:firstLineChars="200"/>
                    <w:jc w:val="left"/>
                    <w:rPr>
                      <w:rFonts w:hint="default" w:ascii="Times New Roman" w:hAnsi="Times New Roman" w:eastAsia="宋体" w:cs="Times New Roman"/>
                      <w:color w:val="auto"/>
                      <w:szCs w:val="21"/>
                      <w:highlight w:val="none"/>
                    </w:rPr>
                  </w:pPr>
                </w:p>
              </w:tc>
              <w:tc>
                <w:tcPr>
                  <w:tcW w:w="2537" w:type="pct"/>
                  <w:gridSpan w:val="2"/>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禁止新建、改建、扩建化学纸浆造纸、制革、酿造、染料、印染、电镀以及其他排放含氮、磷等污染物的企业和项目</w:t>
                  </w:r>
                </w:p>
              </w:tc>
              <w:tc>
                <w:tcPr>
                  <w:tcW w:w="1172" w:type="pct"/>
                  <w:noWrap w:val="0"/>
                  <w:vAlign w:val="center"/>
                </w:tcPr>
                <w:p>
                  <w:pPr>
                    <w:ind w:firstLine="420" w:firstLineChars="200"/>
                    <w:jc w:val="left"/>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本项目不涉及</w:t>
                  </w:r>
                  <w:r>
                    <w:rPr>
                      <w:rFonts w:hint="default" w:ascii="Times New Roman" w:hAnsi="Times New Roman" w:eastAsia="宋体" w:cs="Times New Roman"/>
                      <w:color w:val="auto"/>
                      <w:szCs w:val="21"/>
                      <w:highlight w:val="none"/>
                      <w:lang w:eastAsia="zh-CN"/>
                    </w:rPr>
                    <w:t>。</w:t>
                  </w:r>
                </w:p>
              </w:tc>
              <w:tc>
                <w:tcPr>
                  <w:tcW w:w="43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58" w:type="pct"/>
                  <w:vMerge w:val="continue"/>
                  <w:noWrap w:val="0"/>
                  <w:vAlign w:val="center"/>
                </w:tcPr>
                <w:p>
                  <w:pPr>
                    <w:ind w:firstLine="420" w:firstLineChars="200"/>
                    <w:jc w:val="left"/>
                    <w:rPr>
                      <w:rFonts w:hint="default" w:ascii="Times New Roman" w:hAnsi="Times New Roman" w:eastAsia="宋体" w:cs="Times New Roman"/>
                      <w:color w:val="auto"/>
                      <w:szCs w:val="21"/>
                      <w:highlight w:val="none"/>
                    </w:rPr>
                  </w:pPr>
                </w:p>
              </w:tc>
              <w:tc>
                <w:tcPr>
                  <w:tcW w:w="2537" w:type="pct"/>
                  <w:gridSpan w:val="2"/>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禁止引进高污染、高能耗、资源性（“两高一资”）项目</w:t>
                  </w:r>
                </w:p>
              </w:tc>
              <w:tc>
                <w:tcPr>
                  <w:tcW w:w="1172"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本项目不属于高污染、高能耗、资源性（“两高一资”）项目。</w:t>
                  </w:r>
                </w:p>
              </w:tc>
              <w:tc>
                <w:tcPr>
                  <w:tcW w:w="43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58" w:type="pct"/>
                  <w:vMerge w:val="continue"/>
                  <w:noWrap w:val="0"/>
                  <w:vAlign w:val="center"/>
                </w:tcPr>
                <w:p>
                  <w:pPr>
                    <w:ind w:firstLine="420" w:firstLineChars="200"/>
                    <w:jc w:val="left"/>
                    <w:rPr>
                      <w:rFonts w:hint="default" w:ascii="Times New Roman" w:hAnsi="Times New Roman" w:eastAsia="宋体" w:cs="Times New Roman"/>
                      <w:color w:val="auto"/>
                      <w:szCs w:val="21"/>
                      <w:highlight w:val="none"/>
                    </w:rPr>
                  </w:pPr>
                </w:p>
              </w:tc>
              <w:tc>
                <w:tcPr>
                  <w:tcW w:w="2537" w:type="pct"/>
                  <w:gridSpan w:val="2"/>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禁止引进纯电镀加工项目</w:t>
                  </w:r>
                </w:p>
              </w:tc>
              <w:tc>
                <w:tcPr>
                  <w:tcW w:w="1172"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本项目不涉及电镀。</w:t>
                  </w:r>
                </w:p>
              </w:tc>
              <w:tc>
                <w:tcPr>
                  <w:tcW w:w="43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58" w:type="pct"/>
                  <w:vMerge w:val="continue"/>
                  <w:noWrap w:val="0"/>
                  <w:vAlign w:val="center"/>
                </w:tcPr>
                <w:p>
                  <w:pPr>
                    <w:ind w:firstLine="420" w:firstLineChars="200"/>
                    <w:jc w:val="left"/>
                    <w:rPr>
                      <w:rFonts w:hint="default" w:ascii="Times New Roman" w:hAnsi="Times New Roman" w:eastAsia="宋体" w:cs="Times New Roman"/>
                      <w:color w:val="auto"/>
                      <w:szCs w:val="21"/>
                      <w:highlight w:val="none"/>
                    </w:rPr>
                  </w:pPr>
                </w:p>
              </w:tc>
              <w:tc>
                <w:tcPr>
                  <w:tcW w:w="2537" w:type="pct"/>
                  <w:gridSpan w:val="2"/>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限制高毒农药项目</w:t>
                  </w:r>
                </w:p>
              </w:tc>
              <w:tc>
                <w:tcPr>
                  <w:tcW w:w="1172"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本项目不属于农药项目。</w:t>
                  </w:r>
                </w:p>
              </w:tc>
              <w:tc>
                <w:tcPr>
                  <w:tcW w:w="43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858" w:type="pct"/>
                  <w:vMerge w:val="continue"/>
                  <w:noWrap w:val="0"/>
                  <w:vAlign w:val="center"/>
                </w:tcPr>
                <w:p>
                  <w:pPr>
                    <w:ind w:firstLine="420" w:firstLineChars="200"/>
                    <w:jc w:val="left"/>
                    <w:rPr>
                      <w:rFonts w:hint="default" w:ascii="Times New Roman" w:hAnsi="Times New Roman" w:eastAsia="宋体" w:cs="Times New Roman"/>
                      <w:color w:val="auto"/>
                      <w:szCs w:val="21"/>
                      <w:highlight w:val="none"/>
                    </w:rPr>
                  </w:pPr>
                </w:p>
              </w:tc>
              <w:tc>
                <w:tcPr>
                  <w:tcW w:w="2537" w:type="pct"/>
                  <w:gridSpan w:val="2"/>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禁止建设新增铅、汞、铬、砷、镉、镍、铜重金属污染排放总量的项目</w:t>
                  </w:r>
                </w:p>
              </w:tc>
              <w:tc>
                <w:tcPr>
                  <w:tcW w:w="1172"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本项目不涉及重金属。</w:t>
                  </w:r>
                </w:p>
              </w:tc>
              <w:tc>
                <w:tcPr>
                  <w:tcW w:w="43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58" w:type="pct"/>
                  <w:vMerge w:val="continue"/>
                  <w:noWrap w:val="0"/>
                  <w:vAlign w:val="center"/>
                </w:tcPr>
                <w:p>
                  <w:pPr>
                    <w:ind w:firstLine="420" w:firstLineChars="200"/>
                    <w:jc w:val="left"/>
                    <w:rPr>
                      <w:rFonts w:hint="default" w:ascii="Times New Roman" w:hAnsi="Times New Roman" w:eastAsia="宋体" w:cs="Times New Roman"/>
                      <w:color w:val="auto"/>
                      <w:szCs w:val="21"/>
                      <w:highlight w:val="none"/>
                    </w:rPr>
                  </w:pPr>
                </w:p>
              </w:tc>
              <w:tc>
                <w:tcPr>
                  <w:tcW w:w="2537" w:type="pct"/>
                  <w:gridSpan w:val="2"/>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禁止新增化工项目</w:t>
                  </w:r>
                </w:p>
              </w:tc>
              <w:tc>
                <w:tcPr>
                  <w:tcW w:w="1172"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本项目不属于化工项目。</w:t>
                  </w:r>
                </w:p>
              </w:tc>
              <w:tc>
                <w:tcPr>
                  <w:tcW w:w="43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58" w:type="pct"/>
                  <w:vMerge w:val="continue"/>
                  <w:noWrap w:val="0"/>
                  <w:vAlign w:val="center"/>
                </w:tcPr>
                <w:p>
                  <w:pPr>
                    <w:ind w:firstLine="420" w:firstLineChars="200"/>
                    <w:jc w:val="left"/>
                    <w:rPr>
                      <w:rFonts w:hint="default" w:ascii="Times New Roman" w:hAnsi="Times New Roman" w:eastAsia="宋体" w:cs="Times New Roman"/>
                      <w:color w:val="auto"/>
                      <w:szCs w:val="21"/>
                      <w:highlight w:val="none"/>
                    </w:rPr>
                  </w:pPr>
                </w:p>
              </w:tc>
              <w:tc>
                <w:tcPr>
                  <w:tcW w:w="2537" w:type="pct"/>
                  <w:gridSpan w:val="2"/>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不符合所在工业园区产业定位的工业项目</w:t>
                  </w:r>
                </w:p>
              </w:tc>
              <w:tc>
                <w:tcPr>
                  <w:tcW w:w="1172"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本项目符合工业园区产业定位。</w:t>
                  </w:r>
                </w:p>
              </w:tc>
              <w:tc>
                <w:tcPr>
                  <w:tcW w:w="43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1" w:hRule="atLeast"/>
              </w:trPr>
              <w:tc>
                <w:tcPr>
                  <w:tcW w:w="858" w:type="pct"/>
                  <w:vMerge w:val="continue"/>
                  <w:noWrap w:val="0"/>
                  <w:vAlign w:val="center"/>
                </w:tcPr>
                <w:p>
                  <w:pPr>
                    <w:ind w:firstLine="420" w:firstLineChars="200"/>
                    <w:jc w:val="left"/>
                    <w:rPr>
                      <w:rFonts w:hint="default" w:ascii="Times New Roman" w:hAnsi="Times New Roman" w:eastAsia="宋体" w:cs="Times New Roman"/>
                      <w:color w:val="auto"/>
                      <w:szCs w:val="21"/>
                      <w:highlight w:val="none"/>
                    </w:rPr>
                  </w:pPr>
                </w:p>
              </w:tc>
              <w:tc>
                <w:tcPr>
                  <w:tcW w:w="2537" w:type="pct"/>
                  <w:gridSpan w:val="2"/>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环境污染严重、污染物排放总量指标未落实的项目</w:t>
                  </w:r>
                </w:p>
              </w:tc>
              <w:tc>
                <w:tcPr>
                  <w:tcW w:w="1172"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w:t>
                  </w:r>
                  <w:r>
                    <w:rPr>
                      <w:rFonts w:hint="eastAsia" w:cs="Times New Roman"/>
                      <w:color w:val="auto"/>
                      <w:szCs w:val="21"/>
                      <w:highlight w:val="none"/>
                      <w:lang w:val="en-US" w:eastAsia="zh-CN"/>
                    </w:rPr>
                    <w:t>无废气产生</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废水总量</w:t>
                  </w:r>
                  <w:r>
                    <w:rPr>
                      <w:rFonts w:hint="default" w:ascii="Times New Roman" w:hAnsi="Times New Roman" w:eastAsia="宋体" w:cs="Times New Roman"/>
                      <w:color w:val="auto"/>
                      <w:szCs w:val="21"/>
                      <w:highlight w:val="none"/>
                    </w:rPr>
                    <w:t>已按要求落实。</w:t>
                  </w:r>
                </w:p>
              </w:tc>
              <w:tc>
                <w:tcPr>
                  <w:tcW w:w="43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58" w:type="pct"/>
                  <w:vMerge w:val="restart"/>
                  <w:noWrap w:val="0"/>
                  <w:vAlign w:val="center"/>
                </w:tcPr>
                <w:p>
                  <w:pPr>
                    <w:ind w:firstLine="33" w:firstLineChars="16"/>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《无锡市“三线一单”生态环境分区管控实施方案》中表7：无锡市新吴区“三线一单”环境准入清单——无锡国家高新技术产业开发区</w:t>
                  </w:r>
                </w:p>
              </w:tc>
              <w:tc>
                <w:tcPr>
                  <w:tcW w:w="3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空间布局约束</w:t>
                  </w:r>
                </w:p>
              </w:tc>
              <w:tc>
                <w:tcPr>
                  <w:tcW w:w="2167"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（1）高新区A区禁止新建排放硫酸雾、盐酸雾的项目。</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禁止新建、改建、扩建化学制浆造纸、制革、酿造、染料、印染、电镀以及其他排放含磷、氮等污染物的企业和项目，城镇污水集中处理等环境基础设施项目和《江苏省太湖水污染防治条例》第四十六条规定的情形除外。</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（3）禁止引进高污染、高能耗、资源性（“两高一资”）项目。</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（4）禁止引进纯电镀加工类项目；禁止建设新增铅、汞、铬、砷、镉、镍、铜重金属污染排放总量的项目。</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（5）禁止新增化工项目。</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（6）限制高毒农药项目。</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（7）禁止引进不符合所在工业园区产业定位的工业项目。</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（8）禁止建设环境污染严重、污染物排放总量指标未落实的项目。</w:t>
                  </w:r>
                </w:p>
              </w:tc>
              <w:tc>
                <w:tcPr>
                  <w:tcW w:w="1172"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（1）本项目不产生硫酸雾、盐酸雾；</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（2）本项目不属于化学制浆造纸、制革、酿造、染料、印染、电镀，也不排放含氮、磷的废水；</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（3）本项目不属于高污染、高能耗、资源性项目；</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（4）本项目不涉及电镀工艺，不涉及重金属污染物的产生；</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（5）本项目不属于化工、农药类项目；</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（6）本项目与园区产业定位相符，污染物达标排放，</w:t>
                  </w:r>
                  <w:r>
                    <w:rPr>
                      <w:rFonts w:hint="default" w:ascii="Times New Roman" w:hAnsi="Times New Roman" w:eastAsia="宋体" w:cs="Times New Roman"/>
                      <w:color w:val="auto"/>
                      <w:szCs w:val="21"/>
                      <w:highlight w:val="none"/>
                      <w:lang w:val="en-US" w:eastAsia="zh-CN"/>
                    </w:rPr>
                    <w:t>废气不新增总量。</w:t>
                  </w:r>
                  <w:r>
                    <w:rPr>
                      <w:rFonts w:hint="default" w:ascii="Times New Roman" w:hAnsi="Times New Roman" w:eastAsia="宋体" w:cs="Times New Roman"/>
                      <w:color w:val="auto"/>
                      <w:szCs w:val="21"/>
                      <w:highlight w:val="none"/>
                    </w:rPr>
                    <w:t>废水污染物在新城水处理厂范围内平衡。</w:t>
                  </w:r>
                </w:p>
              </w:tc>
              <w:tc>
                <w:tcPr>
                  <w:tcW w:w="43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58" w:type="pct"/>
                  <w:vMerge w:val="continue"/>
                  <w:noWrap w:val="0"/>
                  <w:vAlign w:val="center"/>
                </w:tcPr>
                <w:p>
                  <w:pPr>
                    <w:ind w:firstLine="420" w:firstLineChars="200"/>
                    <w:jc w:val="left"/>
                    <w:rPr>
                      <w:rFonts w:hint="default" w:ascii="Times New Roman" w:hAnsi="Times New Roman" w:eastAsia="宋体" w:cs="Times New Roman"/>
                      <w:color w:val="auto"/>
                      <w:szCs w:val="21"/>
                      <w:highlight w:val="none"/>
                    </w:rPr>
                  </w:pPr>
                </w:p>
              </w:tc>
              <w:tc>
                <w:tcPr>
                  <w:tcW w:w="3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污染物排放管控</w:t>
                  </w:r>
                </w:p>
              </w:tc>
              <w:tc>
                <w:tcPr>
                  <w:tcW w:w="2167"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（1）严格实施污染物总量控制制度，根据区域环境质量改善目标，采取有效措施减少主要污染物排放总量，确保区域环境质量持续改善。</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（2）园区污染物排放总量不得突破环评报告及批复的总量。</w:t>
                  </w:r>
                </w:p>
              </w:tc>
              <w:tc>
                <w:tcPr>
                  <w:tcW w:w="1172"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w:t>
                  </w:r>
                  <w:r>
                    <w:rPr>
                      <w:rFonts w:hint="eastAsia" w:cs="Times New Roman"/>
                      <w:color w:val="auto"/>
                      <w:szCs w:val="21"/>
                      <w:highlight w:val="none"/>
                      <w:lang w:val="en-US" w:eastAsia="zh-CN"/>
                    </w:rPr>
                    <w:t>无废气产生</w:t>
                  </w:r>
                  <w:r>
                    <w:rPr>
                      <w:rFonts w:hint="default" w:ascii="Times New Roman" w:hAnsi="Times New Roman" w:eastAsia="宋体" w:cs="Times New Roman"/>
                      <w:color w:val="auto"/>
                      <w:szCs w:val="21"/>
                      <w:highlight w:val="none"/>
                    </w:rPr>
                    <w:t>，废水污染物在新城水处理厂范围内平衡。</w:t>
                  </w:r>
                </w:p>
              </w:tc>
              <w:tc>
                <w:tcPr>
                  <w:tcW w:w="43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58" w:type="pct"/>
                  <w:vMerge w:val="continue"/>
                  <w:noWrap w:val="0"/>
                  <w:vAlign w:val="center"/>
                </w:tcPr>
                <w:p>
                  <w:pPr>
                    <w:ind w:firstLine="420" w:firstLineChars="200"/>
                    <w:jc w:val="left"/>
                    <w:rPr>
                      <w:rFonts w:hint="default" w:ascii="Times New Roman" w:hAnsi="Times New Roman" w:eastAsia="宋体" w:cs="Times New Roman"/>
                      <w:color w:val="auto"/>
                      <w:szCs w:val="21"/>
                      <w:highlight w:val="none"/>
                    </w:rPr>
                  </w:pPr>
                </w:p>
              </w:tc>
              <w:tc>
                <w:tcPr>
                  <w:tcW w:w="3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环境风险防控</w:t>
                  </w:r>
                </w:p>
              </w:tc>
              <w:tc>
                <w:tcPr>
                  <w:tcW w:w="2167"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建立健全高新区环境风险管控体系，加强环境管理能力建设。</w:t>
                  </w:r>
                </w:p>
              </w:tc>
              <w:tc>
                <w:tcPr>
                  <w:tcW w:w="1172"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本项目风险可控，建设单位已采取必要的风险防范措施。</w:t>
                  </w:r>
                </w:p>
              </w:tc>
              <w:tc>
                <w:tcPr>
                  <w:tcW w:w="43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58" w:type="pct"/>
                  <w:vMerge w:val="continue"/>
                  <w:noWrap w:val="0"/>
                  <w:vAlign w:val="center"/>
                </w:tcPr>
                <w:p>
                  <w:pPr>
                    <w:ind w:firstLine="420" w:firstLineChars="200"/>
                    <w:jc w:val="left"/>
                    <w:rPr>
                      <w:rFonts w:hint="default" w:ascii="Times New Roman" w:hAnsi="Times New Roman" w:eastAsia="宋体" w:cs="Times New Roman"/>
                      <w:color w:val="auto"/>
                      <w:szCs w:val="21"/>
                      <w:highlight w:val="none"/>
                    </w:rPr>
                  </w:pPr>
                </w:p>
              </w:tc>
              <w:tc>
                <w:tcPr>
                  <w:tcW w:w="3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资源开发效率要求</w:t>
                  </w:r>
                </w:p>
              </w:tc>
              <w:tc>
                <w:tcPr>
                  <w:tcW w:w="2167"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（1）用水总量不高于5144万吨/年。工业用水量不高于3322万吨/年。</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（2）土地资源总量不高于55.0平方公里。建设用地总量不高于50.67平方公里。工业用地总量不高于26.57平方公里。</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（3）单位工业增加值综合能耗0.376吨标煤/万元。</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（4）禁止销售使用燃料为“Ⅱ类”（较严），具体包括：1、除单台出力大于等于20蒸吨/小时锅炉以外燃用的煤炭及其制品。2、石油焦、油页岩、原油、重油、渣油、煤焦油。</w:t>
                  </w:r>
                </w:p>
              </w:tc>
              <w:tc>
                <w:tcPr>
                  <w:tcW w:w="1172" w:type="pct"/>
                  <w:noWrap w:val="0"/>
                  <w:vAlign w:val="center"/>
                </w:tcPr>
                <w:p>
                  <w:pPr>
                    <w:ind w:firstLine="210" w:firstLineChars="1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全厂用水量和废水量远低于前述指标；不新增用地面积，利用现有厂房布局；使用清洁能源电能，不使用燃料。</w:t>
                  </w:r>
                </w:p>
              </w:tc>
              <w:tc>
                <w:tcPr>
                  <w:tcW w:w="43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bl>
          <w:p>
            <w:pPr>
              <w:pStyle w:val="50"/>
              <w:widowControl w:val="0"/>
              <w:spacing w:after="0" w:line="500" w:lineRule="exact"/>
              <w:ind w:firstLine="480"/>
              <w:jc w:val="both"/>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kern w:val="2"/>
                <w:sz w:val="24"/>
                <w:szCs w:val="24"/>
                <w:highlight w:val="none"/>
                <w:lang w:eastAsia="ja-JP"/>
              </w:rPr>
              <w:t>综上所述，建设项目符合国家、地方产业政策，项目选址符合区域总体规划，并能够满足生态保护红线、环境质量底线以及资源利用上限的要求。</w:t>
            </w:r>
          </w:p>
        </w:tc>
      </w:tr>
    </w:tbl>
    <w:p>
      <w:pPr>
        <w:spacing w:line="360" w:lineRule="auto"/>
        <w:outlineLvl w:val="0"/>
        <w:rPr>
          <w:rFonts w:hint="default" w:ascii="Times New Roman" w:hAnsi="Times New Roman" w:eastAsia="宋体" w:cs="Times New Roman"/>
          <w:color w:val="auto"/>
          <w:sz w:val="30"/>
          <w:highlight w:val="none"/>
        </w:rPr>
        <w:sectPr>
          <w:footerReference r:id="rId6" w:type="default"/>
          <w:pgSz w:w="11906" w:h="16838"/>
          <w:pgMar w:top="1418" w:right="1418" w:bottom="1418" w:left="1418"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8"/>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rPr>
      </w:pPr>
      <w:bookmarkStart w:id="7" w:name="_Toc68247211"/>
      <w:r>
        <w:rPr>
          <w:rFonts w:hint="default" w:ascii="Times New Roman" w:hAnsi="Times New Roman" w:eastAsia="宋体" w:cs="Times New Roman"/>
          <w:snapToGrid w:val="0"/>
          <w:color w:val="auto"/>
          <w:sz w:val="30"/>
          <w:szCs w:val="30"/>
          <w:highlight w:val="none"/>
        </w:rPr>
        <w:t>二、建设项目工程分析</w:t>
      </w:r>
      <w:bookmarkEnd w:id="7"/>
    </w:p>
    <w:tbl>
      <w:tblPr>
        <w:tblStyle w:val="21"/>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65"/>
        <w:gridCol w:w="88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45" w:type="pct"/>
            <w:noWrap w:val="0"/>
            <w:vAlign w:val="center"/>
          </w:tcPr>
          <w:p>
            <w:pPr>
              <w:pStyle w:val="18"/>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4854" w:type="pct"/>
            <w:noWrap w:val="0"/>
            <w:vAlign w:val="center"/>
          </w:tcPr>
          <w:p>
            <w:pPr>
              <w:adjustRightInd w:val="0"/>
              <w:snapToGrid w:val="0"/>
              <w:spacing w:line="500" w:lineRule="exact"/>
              <w:ind w:firstLine="435"/>
              <w:jc w:val="left"/>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一、项目概况</w:t>
            </w:r>
          </w:p>
          <w:p>
            <w:pPr>
              <w:adjustRightInd w:val="0"/>
              <w:snapToGrid w:val="0"/>
              <w:spacing w:line="500" w:lineRule="exact"/>
              <w:ind w:firstLine="480" w:firstLineChars="200"/>
              <w:jc w:val="left"/>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博世动力总成有限公司原博世汽车柴油系统有限公司，2004年7月由德国博世集团与无锡威孚集团联合设立的中外合资企业，</w:t>
            </w:r>
            <w:r>
              <w:rPr>
                <w:rFonts w:hint="eastAsia" w:cs="Times New Roman"/>
                <w:bCs/>
                <w:color w:val="auto"/>
                <w:sz w:val="24"/>
                <w:szCs w:val="21"/>
                <w:highlight w:val="none"/>
                <w:lang w:val="en-US" w:eastAsia="zh-CN"/>
              </w:rPr>
              <w:t>由于</w:t>
            </w:r>
            <w:r>
              <w:rPr>
                <w:rFonts w:hint="default"/>
                <w:bCs/>
                <w:color w:val="auto"/>
                <w:sz w:val="24"/>
                <w:szCs w:val="21"/>
                <w:highlight w:val="none"/>
              </w:rPr>
              <w:t>企业业务发展需要，已于2021年5月14日更名为博世动力总成有限公司。变更材料详见附件3</w:t>
            </w:r>
            <w:r>
              <w:rPr>
                <w:rFonts w:hint="eastAsia"/>
                <w:bCs/>
                <w:color w:val="auto"/>
                <w:sz w:val="24"/>
                <w:szCs w:val="21"/>
                <w:highlight w:val="none"/>
                <w:lang w:eastAsia="zh-CN"/>
              </w:rPr>
              <w:t>。</w:t>
            </w:r>
            <w:r>
              <w:rPr>
                <w:rFonts w:hint="default" w:ascii="Times New Roman" w:hAnsi="Times New Roman" w:eastAsia="宋体" w:cs="Times New Roman"/>
                <w:bCs/>
                <w:color w:val="auto"/>
                <w:sz w:val="24"/>
                <w:szCs w:val="21"/>
                <w:highlight w:val="none"/>
              </w:rPr>
              <w:t>公司位于无锡市新吴区新华路17号，</w:t>
            </w:r>
            <w:r>
              <w:rPr>
                <w:rFonts w:hint="eastAsia" w:cs="Times New Roman"/>
                <w:bCs/>
                <w:color w:val="auto"/>
                <w:sz w:val="24"/>
                <w:szCs w:val="21"/>
                <w:highlight w:val="none"/>
                <w:lang w:val="en-US" w:eastAsia="zh-CN"/>
              </w:rPr>
              <w:t>公司目前有两个厂区，新华路厂区位于无锡市新吴区新华路17号，里河路厂区位于</w:t>
            </w:r>
            <w:r>
              <w:rPr>
                <w:rFonts w:hint="eastAsia"/>
                <w:bCs/>
                <w:color w:val="auto"/>
                <w:sz w:val="24"/>
                <w:szCs w:val="21"/>
                <w:highlight w:val="none"/>
              </w:rPr>
              <w:t>鸿祥路2号里河路与鸿祥路交叉口东</w:t>
            </w:r>
            <w:r>
              <w:rPr>
                <w:rFonts w:hint="eastAsia"/>
                <w:bCs/>
                <w:color w:val="auto"/>
                <w:sz w:val="24"/>
                <w:szCs w:val="21"/>
                <w:highlight w:val="none"/>
                <w:lang w:eastAsia="zh-CN"/>
              </w:rPr>
              <w:t>。</w:t>
            </w:r>
            <w:r>
              <w:rPr>
                <w:rFonts w:hint="eastAsia"/>
                <w:bCs/>
                <w:color w:val="auto"/>
                <w:sz w:val="24"/>
                <w:szCs w:val="21"/>
                <w:highlight w:val="none"/>
                <w:lang w:val="en-US" w:eastAsia="zh-CN"/>
              </w:rPr>
              <w:t>公司</w:t>
            </w:r>
            <w:r>
              <w:rPr>
                <w:rFonts w:hint="default" w:ascii="Times New Roman" w:hAnsi="Times New Roman" w:eastAsia="宋体" w:cs="Times New Roman"/>
                <w:bCs/>
                <w:color w:val="auto"/>
                <w:sz w:val="24"/>
                <w:szCs w:val="21"/>
                <w:highlight w:val="none"/>
              </w:rPr>
              <w:t>主要从事机动车柴油燃油喷射系统与尾气后处理系统的研发、制造和销售。</w:t>
            </w:r>
          </w:p>
          <w:p>
            <w:pPr>
              <w:adjustRightInd w:val="0"/>
              <w:snapToGrid w:val="0"/>
              <w:spacing w:line="500" w:lineRule="exact"/>
              <w:ind w:firstLine="480" w:firstLineChars="200"/>
              <w:jc w:val="left"/>
              <w:rPr>
                <w:rFonts w:hint="default" w:ascii="Times New Roman" w:hAnsi="Times New Roman" w:eastAsia="宋体" w:cs="Times New Roman"/>
                <w:bCs/>
                <w:color w:val="auto"/>
                <w:sz w:val="24"/>
                <w:szCs w:val="21"/>
                <w:highlight w:val="none"/>
                <w:lang w:eastAsia="zh-Hans"/>
              </w:rPr>
            </w:pPr>
            <w:r>
              <w:rPr>
                <w:rFonts w:hint="default" w:ascii="Times New Roman" w:hAnsi="Times New Roman" w:eastAsia="宋体" w:cs="Times New Roman"/>
                <w:bCs/>
                <w:color w:val="auto"/>
                <w:sz w:val="24"/>
                <w:szCs w:val="21"/>
                <w:highlight w:val="none"/>
              </w:rPr>
              <w:t>新华路17号厂区内现状产品种类及设计规模为：喷油器1000万支/年（</w:t>
            </w:r>
            <w:r>
              <w:rPr>
                <w:rFonts w:hint="eastAsia" w:cs="Times New Roman"/>
                <w:bCs/>
                <w:color w:val="auto"/>
                <w:sz w:val="24"/>
                <w:szCs w:val="21"/>
                <w:highlight w:val="none"/>
                <w:lang w:val="en-US" w:eastAsia="zh-Hans"/>
              </w:rPr>
              <w:t>含</w:t>
            </w:r>
            <w:r>
              <w:rPr>
                <w:rFonts w:hint="default" w:ascii="Times New Roman" w:hAnsi="Times New Roman" w:eastAsia="宋体" w:cs="Times New Roman"/>
                <w:bCs/>
                <w:color w:val="auto"/>
                <w:sz w:val="24"/>
                <w:szCs w:val="21"/>
                <w:highlight w:val="none"/>
              </w:rPr>
              <w:t>喷油器阀座镀铬加工467.2万个/年、喷油器阀座氮化铬涂层加工770万个/年）、共轨油嘴2000万付/年、后国六/国七共轨喷油器体160万支/年</w:t>
            </w:r>
            <w:r>
              <w:rPr>
                <w:rFonts w:hint="default" w:ascii="Times New Roman" w:hAnsi="Times New Roman" w:eastAsia="宋体" w:cs="Times New Roman"/>
                <w:bCs/>
                <w:color w:val="auto"/>
                <w:sz w:val="24"/>
                <w:szCs w:val="21"/>
                <w:highlight w:val="none"/>
                <w:lang w:eastAsia="zh-CN"/>
              </w:rPr>
              <w:t>、</w:t>
            </w:r>
            <w:r>
              <w:rPr>
                <w:rFonts w:hint="default" w:ascii="Times New Roman" w:hAnsi="Times New Roman" w:eastAsia="宋体" w:cs="Times New Roman"/>
                <w:bCs/>
                <w:color w:val="auto"/>
                <w:sz w:val="24"/>
                <w:szCs w:val="21"/>
                <w:highlight w:val="none"/>
              </w:rPr>
              <w:t>再制造喷油器70万只/年、尾气后处理系统287万个/年、再制造尾气后处理系统10万个/年、再制造燃气/双燃料系统1万套/年、燃气/双燃料系统及其组件5万套/年、高压油泵60万个/</w:t>
            </w:r>
            <w:r>
              <w:rPr>
                <w:rFonts w:hint="default" w:ascii="Times New Roman" w:hAnsi="Times New Roman" w:eastAsia="宋体" w:cs="Times New Roman"/>
                <w:b w:val="0"/>
                <w:bCs/>
                <w:color w:val="auto"/>
                <w:sz w:val="24"/>
                <w:szCs w:val="21"/>
                <w:highlight w:val="none"/>
              </w:rPr>
              <w:t>年、共轨油轨280万个/年、热处理加工阀座300万个/年、柴油发动机零件类金刚石涂层1200万个/年、齿轮泵52万个/年、打印三维塑料件100件/年、CB4泵高压部件</w:t>
            </w:r>
            <w:r>
              <w:rPr>
                <w:rFonts w:hint="eastAsia" w:cs="Times New Roman"/>
                <w:b w:val="0"/>
                <w:bCs/>
                <w:color w:val="auto"/>
                <w:sz w:val="24"/>
                <w:szCs w:val="21"/>
                <w:highlight w:val="none"/>
                <w:lang w:val="en-US" w:eastAsia="zh-CN"/>
              </w:rPr>
              <w:t>142</w:t>
            </w:r>
            <w:r>
              <w:rPr>
                <w:rFonts w:hint="default" w:ascii="Times New Roman" w:hAnsi="Times New Roman" w:eastAsia="宋体" w:cs="Times New Roman"/>
                <w:b w:val="0"/>
                <w:bCs/>
                <w:color w:val="auto"/>
                <w:sz w:val="24"/>
                <w:szCs w:val="21"/>
                <w:highlight w:val="none"/>
              </w:rPr>
              <w:t>万个/年、燃料电池20000个/年、尿素喷嘴100万件/年、</w:t>
            </w:r>
            <w:r>
              <w:rPr>
                <w:rFonts w:hint="default" w:ascii="Times New Roman" w:hAnsi="Times New Roman" w:eastAsia="宋体" w:cs="Times New Roman"/>
                <w:b w:val="0"/>
                <w:bCs/>
                <w:color w:val="auto"/>
                <w:sz w:val="24"/>
                <w:szCs w:val="21"/>
                <w:highlight w:val="none"/>
                <w:lang w:val="en-US" w:eastAsia="zh-CN"/>
              </w:rPr>
              <w:t>电堆276</w:t>
            </w:r>
            <w:r>
              <w:rPr>
                <w:rFonts w:hint="default" w:ascii="Times New Roman" w:hAnsi="Times New Roman" w:eastAsia="宋体" w:cs="Times New Roman"/>
                <w:bCs/>
                <w:color w:val="auto"/>
                <w:sz w:val="24"/>
                <w:szCs w:val="21"/>
                <w:highlight w:val="none"/>
                <w:lang w:val="en-US" w:eastAsia="zh-CN"/>
              </w:rPr>
              <w:t>4台/年</w:t>
            </w:r>
            <w:r>
              <w:rPr>
                <w:rFonts w:hint="eastAsia" w:cs="Times New Roman"/>
                <w:bCs/>
                <w:color w:val="auto"/>
                <w:sz w:val="24"/>
                <w:szCs w:val="21"/>
                <w:highlight w:val="none"/>
                <w:lang w:val="en-US" w:eastAsia="zh-CN"/>
              </w:rPr>
              <w:t>、尿素泵及接头120万件/年、</w:t>
            </w:r>
            <w:r>
              <w:rPr>
                <w:rFonts w:hint="default" w:ascii="Times New Roman" w:hAnsi="Times New Roman" w:eastAsia="宋体" w:cs="Times New Roman"/>
                <w:b w:val="0"/>
                <w:bCs/>
                <w:color w:val="auto"/>
                <w:sz w:val="24"/>
                <w:szCs w:val="21"/>
                <w:highlight w:val="none"/>
              </w:rPr>
              <w:t>清洗塑料周转箱180万个/年</w:t>
            </w:r>
            <w:r>
              <w:rPr>
                <w:rFonts w:hint="default" w:ascii="Times New Roman" w:hAnsi="Times New Roman" w:eastAsia="宋体" w:cs="Times New Roman"/>
                <w:bCs/>
                <w:color w:val="auto"/>
                <w:sz w:val="24"/>
                <w:szCs w:val="21"/>
                <w:highlight w:val="none"/>
              </w:rPr>
              <w:t>。</w:t>
            </w:r>
            <w:r>
              <w:rPr>
                <w:rFonts w:hint="eastAsia" w:cs="Times New Roman"/>
                <w:bCs/>
                <w:color w:val="auto"/>
                <w:sz w:val="24"/>
                <w:szCs w:val="21"/>
                <w:highlight w:val="none"/>
                <w:lang w:val="en-US" w:eastAsia="zh-Hans"/>
              </w:rPr>
              <w:t>里河路厂区内现状产品种类及设计规模为</w:t>
            </w:r>
            <w:r>
              <w:rPr>
                <w:rFonts w:hint="default" w:cs="Times New Roman"/>
                <w:bCs/>
                <w:color w:val="auto"/>
                <w:sz w:val="24"/>
                <w:szCs w:val="21"/>
                <w:highlight w:val="none"/>
                <w:lang w:eastAsia="zh-Hans"/>
              </w:rPr>
              <w:t>：</w:t>
            </w:r>
            <w:r>
              <w:rPr>
                <w:rFonts w:hint="eastAsia" w:cs="Times New Roman"/>
                <w:bCs/>
                <w:color w:val="auto"/>
                <w:sz w:val="24"/>
                <w:szCs w:val="21"/>
                <w:highlight w:val="none"/>
                <w:lang w:val="en-US" w:eastAsia="zh-Hans"/>
              </w:rPr>
              <w:t>高压泵体</w:t>
            </w:r>
            <w:r>
              <w:rPr>
                <w:rFonts w:hint="default" w:cs="Times New Roman"/>
                <w:bCs/>
                <w:color w:val="auto"/>
                <w:sz w:val="24"/>
                <w:szCs w:val="21"/>
                <w:highlight w:val="none"/>
                <w:lang w:eastAsia="zh-Hans"/>
              </w:rPr>
              <w:t>1250</w:t>
            </w:r>
            <w:r>
              <w:rPr>
                <w:rFonts w:hint="eastAsia" w:cs="Times New Roman"/>
                <w:bCs/>
                <w:color w:val="auto"/>
                <w:sz w:val="24"/>
                <w:szCs w:val="21"/>
                <w:highlight w:val="none"/>
                <w:lang w:val="en-US" w:eastAsia="zh-Hans"/>
              </w:rPr>
              <w:t>万个</w:t>
            </w:r>
            <w:r>
              <w:rPr>
                <w:rFonts w:hint="default" w:cs="Times New Roman"/>
                <w:bCs/>
                <w:color w:val="auto"/>
                <w:sz w:val="24"/>
                <w:szCs w:val="21"/>
                <w:highlight w:val="none"/>
                <w:lang w:eastAsia="zh-Hans"/>
              </w:rPr>
              <w:t>/</w:t>
            </w:r>
            <w:r>
              <w:rPr>
                <w:rFonts w:hint="eastAsia" w:cs="Times New Roman"/>
                <w:bCs/>
                <w:color w:val="auto"/>
                <w:sz w:val="24"/>
                <w:szCs w:val="21"/>
                <w:highlight w:val="none"/>
                <w:lang w:val="en-US" w:eastAsia="zh-Hans"/>
              </w:rPr>
              <w:t>年</w:t>
            </w:r>
            <w:r>
              <w:rPr>
                <w:rFonts w:hint="default" w:cs="Times New Roman"/>
                <w:bCs/>
                <w:color w:val="auto"/>
                <w:sz w:val="24"/>
                <w:szCs w:val="21"/>
                <w:highlight w:val="none"/>
                <w:lang w:eastAsia="zh-Hans"/>
              </w:rPr>
              <w:t>。</w:t>
            </w:r>
          </w:p>
          <w:p>
            <w:pPr>
              <w:widowControl/>
              <w:wordWrap w:val="0"/>
              <w:adjustRightInd w:val="0"/>
              <w:snapToGrid w:val="0"/>
              <w:spacing w:line="500" w:lineRule="exact"/>
              <w:ind w:firstLine="600" w:firstLineChars="250"/>
              <w:rPr>
                <w:rFonts w:hint="eastAsia" w:cs="Times New Roman"/>
                <w:b w:val="0"/>
                <w:bCs/>
                <w:color w:val="auto"/>
                <w:sz w:val="24"/>
                <w:szCs w:val="21"/>
                <w:highlight w:val="none"/>
                <w:lang w:val="en-US" w:eastAsia="zh-CN"/>
              </w:rPr>
            </w:pPr>
            <w:r>
              <w:rPr>
                <w:rFonts w:hint="default" w:ascii="Times New Roman" w:hAnsi="Times New Roman" w:eastAsia="宋体" w:cs="Times New Roman"/>
                <w:b w:val="0"/>
                <w:bCs/>
                <w:color w:val="auto"/>
                <w:sz w:val="24"/>
                <w:szCs w:val="21"/>
                <w:highlight w:val="none"/>
              </w:rPr>
              <w:t>随着市场需求不断增加，博世动力总成有限公司计划投资</w:t>
            </w:r>
            <w:r>
              <w:rPr>
                <w:rFonts w:hint="eastAsia" w:cs="Times New Roman"/>
                <w:b w:val="0"/>
                <w:bCs/>
                <w:color w:val="auto"/>
                <w:sz w:val="24"/>
                <w:szCs w:val="21"/>
                <w:highlight w:val="none"/>
                <w:lang w:val="en-US" w:eastAsia="zh-CN"/>
              </w:rPr>
              <w:t>3100</w:t>
            </w:r>
            <w:r>
              <w:rPr>
                <w:rFonts w:hint="default" w:ascii="Times New Roman" w:hAnsi="Times New Roman" w:eastAsia="宋体" w:cs="Times New Roman"/>
                <w:b w:val="0"/>
                <w:bCs/>
                <w:color w:val="auto"/>
                <w:sz w:val="24"/>
                <w:szCs w:val="21"/>
                <w:highlight w:val="none"/>
              </w:rPr>
              <w:t>万元人民币</w:t>
            </w:r>
            <w:r>
              <w:rPr>
                <w:rFonts w:hint="eastAsia" w:cs="Times New Roman"/>
                <w:b w:val="0"/>
                <w:bCs/>
                <w:color w:val="auto"/>
                <w:sz w:val="24"/>
                <w:szCs w:val="21"/>
                <w:highlight w:val="none"/>
                <w:lang w:eastAsia="zh-CN"/>
              </w:rPr>
              <w:t>。</w:t>
            </w:r>
            <w:r>
              <w:rPr>
                <w:rFonts w:hint="eastAsia" w:cs="Times New Roman"/>
                <w:b w:val="0"/>
                <w:bCs/>
                <w:color w:val="auto"/>
                <w:sz w:val="24"/>
                <w:szCs w:val="21"/>
                <w:highlight w:val="none"/>
                <w:lang w:val="en-US" w:eastAsia="zh-CN"/>
              </w:rPr>
              <w:t>进行共轨油轨产品的技术改造：引进电化学加工，自紧强化设备等进口设备10台套，对现有</w:t>
            </w:r>
            <w:r>
              <w:rPr>
                <w:rFonts w:hint="default" w:ascii="Times New Roman" w:hAnsi="Times New Roman" w:eastAsia="宋体" w:cs="Times New Roman"/>
                <w:b w:val="0"/>
                <w:bCs/>
                <w:color w:val="auto"/>
                <w:sz w:val="24"/>
                <w:szCs w:val="21"/>
                <w:highlight w:val="none"/>
              </w:rPr>
              <w:t>共轨油轨280万个/年</w:t>
            </w:r>
            <w:r>
              <w:rPr>
                <w:rFonts w:hint="eastAsia" w:cs="Times New Roman"/>
                <w:b w:val="0"/>
                <w:bCs/>
                <w:color w:val="auto"/>
                <w:sz w:val="24"/>
                <w:szCs w:val="21"/>
                <w:highlight w:val="none"/>
                <w:lang w:val="en-US" w:eastAsia="zh-CN"/>
              </w:rPr>
              <w:t>中的部分产品（78万个/年）进行升级改造再加工。改造完成后形成强化轨体78万件/年。</w:t>
            </w:r>
          </w:p>
          <w:p>
            <w:pPr>
              <w:widowControl/>
              <w:wordWrap w:val="0"/>
              <w:adjustRightInd w:val="0"/>
              <w:snapToGrid w:val="0"/>
              <w:spacing w:line="500" w:lineRule="exact"/>
              <w:ind w:firstLine="600" w:firstLineChars="250"/>
              <w:rPr>
                <w:rFonts w:hint="eastAsia" w:cs="Times New Roman"/>
                <w:bCs/>
                <w:color w:val="auto"/>
                <w:sz w:val="24"/>
                <w:szCs w:val="21"/>
                <w:highlight w:val="none"/>
                <w:lang w:val="en-US" w:eastAsia="zh-CN"/>
              </w:rPr>
            </w:pPr>
            <w:r>
              <w:rPr>
                <w:rFonts w:hint="eastAsia" w:cs="Times New Roman"/>
                <w:b w:val="0"/>
                <w:bCs/>
                <w:color w:val="auto"/>
                <w:sz w:val="24"/>
                <w:szCs w:val="21"/>
                <w:highlight w:val="none"/>
                <w:lang w:val="en-US" w:eastAsia="zh-CN"/>
              </w:rPr>
              <w:t>项目建成后，</w:t>
            </w:r>
            <w:r>
              <w:rPr>
                <w:rFonts w:hint="default" w:ascii="Times New Roman" w:hAnsi="Times New Roman" w:eastAsia="宋体" w:cs="Times New Roman"/>
                <w:bCs/>
                <w:color w:val="auto"/>
                <w:sz w:val="24"/>
                <w:szCs w:val="21"/>
                <w:highlight w:val="none"/>
              </w:rPr>
              <w:t>新华路17号厂区</w:t>
            </w:r>
            <w:r>
              <w:rPr>
                <w:rFonts w:hint="eastAsia" w:cs="Times New Roman"/>
                <w:bCs/>
                <w:color w:val="auto"/>
                <w:sz w:val="24"/>
                <w:szCs w:val="21"/>
                <w:highlight w:val="none"/>
                <w:lang w:val="en-US" w:eastAsia="zh-CN"/>
              </w:rPr>
              <w:t>产品及生产规模可达到</w:t>
            </w:r>
            <w:r>
              <w:rPr>
                <w:rFonts w:hint="default" w:ascii="Times New Roman" w:hAnsi="Times New Roman" w:eastAsia="宋体" w:cs="Times New Roman"/>
                <w:bCs/>
                <w:color w:val="auto"/>
                <w:sz w:val="24"/>
                <w:szCs w:val="21"/>
                <w:highlight w:val="none"/>
              </w:rPr>
              <w:t>：喷油器1000万支/年（</w:t>
            </w:r>
            <w:r>
              <w:rPr>
                <w:rFonts w:hint="eastAsia" w:cs="Times New Roman"/>
                <w:bCs/>
                <w:color w:val="auto"/>
                <w:sz w:val="24"/>
                <w:szCs w:val="21"/>
                <w:highlight w:val="none"/>
                <w:lang w:val="en-US" w:eastAsia="zh-Hans"/>
              </w:rPr>
              <w:t>含</w:t>
            </w:r>
            <w:r>
              <w:rPr>
                <w:rFonts w:hint="default" w:ascii="Times New Roman" w:hAnsi="Times New Roman" w:eastAsia="宋体" w:cs="Times New Roman"/>
                <w:bCs/>
                <w:color w:val="auto"/>
                <w:sz w:val="24"/>
                <w:szCs w:val="21"/>
                <w:highlight w:val="none"/>
              </w:rPr>
              <w:t>喷油器阀座镀铬加工467.2万个/年、喷油器阀座氮化铬涂层加工770万个/年）、共轨油嘴2000万付/年、后国六/国七共轨喷油器体160万支/年</w:t>
            </w:r>
            <w:r>
              <w:rPr>
                <w:rFonts w:hint="default" w:ascii="Times New Roman" w:hAnsi="Times New Roman" w:eastAsia="宋体" w:cs="Times New Roman"/>
                <w:bCs/>
                <w:color w:val="auto"/>
                <w:sz w:val="24"/>
                <w:szCs w:val="21"/>
                <w:highlight w:val="none"/>
                <w:lang w:eastAsia="zh-CN"/>
              </w:rPr>
              <w:t>、</w:t>
            </w:r>
            <w:r>
              <w:rPr>
                <w:rFonts w:hint="default" w:ascii="Times New Roman" w:hAnsi="Times New Roman" w:eastAsia="宋体" w:cs="Times New Roman"/>
                <w:bCs/>
                <w:color w:val="auto"/>
                <w:sz w:val="24"/>
                <w:szCs w:val="21"/>
                <w:highlight w:val="none"/>
              </w:rPr>
              <w:t>再制造喷油器70万只/年、尾气后处理系统287万个/年、再制造尾气后处理系统10万个/年、再制造燃气/双燃料系统1万套/年、燃气/双燃料系统及其组件5万套/年、高压油泵60万个/</w:t>
            </w:r>
            <w:r>
              <w:rPr>
                <w:rFonts w:hint="default" w:ascii="Times New Roman" w:hAnsi="Times New Roman" w:eastAsia="宋体" w:cs="Times New Roman"/>
                <w:b w:val="0"/>
                <w:bCs/>
                <w:color w:val="auto"/>
                <w:sz w:val="24"/>
                <w:szCs w:val="21"/>
                <w:highlight w:val="none"/>
              </w:rPr>
              <w:t>年、共轨油轨280万个/年</w:t>
            </w:r>
            <w:r>
              <w:rPr>
                <w:rFonts w:hint="eastAsia" w:cs="Times New Roman"/>
                <w:b/>
                <w:bCs w:val="0"/>
                <w:color w:val="auto"/>
                <w:sz w:val="24"/>
                <w:szCs w:val="21"/>
                <w:highlight w:val="none"/>
                <w:lang w:eastAsia="zh-CN"/>
              </w:rPr>
              <w:t>（</w:t>
            </w:r>
            <w:r>
              <w:rPr>
                <w:rFonts w:hint="eastAsia" w:cs="Times New Roman"/>
                <w:b/>
                <w:bCs w:val="0"/>
                <w:color w:val="auto"/>
                <w:sz w:val="24"/>
                <w:szCs w:val="21"/>
                <w:highlight w:val="none"/>
                <w:lang w:val="en-US" w:eastAsia="zh-CN"/>
              </w:rPr>
              <w:t>含强化轨体78万个/年）</w:t>
            </w:r>
            <w:r>
              <w:rPr>
                <w:rFonts w:hint="default" w:ascii="Times New Roman" w:hAnsi="Times New Roman" w:eastAsia="宋体" w:cs="Times New Roman"/>
                <w:b w:val="0"/>
                <w:bCs/>
                <w:color w:val="auto"/>
                <w:sz w:val="24"/>
                <w:szCs w:val="21"/>
                <w:highlight w:val="none"/>
              </w:rPr>
              <w:t>、热处理加工阀座300万个/年、柴油发动机零件类金刚石涂层1200万个/年、齿轮泵52万个/年、打印三维塑料件100件/年、CB4泵高压部件</w:t>
            </w:r>
            <w:r>
              <w:rPr>
                <w:rFonts w:hint="eastAsia" w:cs="Times New Roman"/>
                <w:b w:val="0"/>
                <w:bCs/>
                <w:color w:val="auto"/>
                <w:sz w:val="24"/>
                <w:szCs w:val="21"/>
                <w:highlight w:val="none"/>
                <w:lang w:val="en-US" w:eastAsia="zh-CN"/>
              </w:rPr>
              <w:t>142</w:t>
            </w:r>
            <w:r>
              <w:rPr>
                <w:rFonts w:hint="default" w:ascii="Times New Roman" w:hAnsi="Times New Roman" w:eastAsia="宋体" w:cs="Times New Roman"/>
                <w:b w:val="0"/>
                <w:bCs/>
                <w:color w:val="auto"/>
                <w:sz w:val="24"/>
                <w:szCs w:val="21"/>
                <w:highlight w:val="none"/>
              </w:rPr>
              <w:t>万个/年、燃料电池20000个/年、尿素喷嘴100万件/年</w:t>
            </w:r>
            <w:r>
              <w:rPr>
                <w:rFonts w:hint="eastAsia" w:cs="Times New Roman"/>
                <w:b w:val="0"/>
                <w:bCs/>
                <w:color w:val="auto"/>
                <w:sz w:val="24"/>
                <w:szCs w:val="21"/>
                <w:highlight w:val="none"/>
                <w:lang w:eastAsia="zh-CN"/>
              </w:rPr>
              <w:t>、</w:t>
            </w:r>
            <w:r>
              <w:rPr>
                <w:rFonts w:hint="default" w:ascii="Times New Roman" w:hAnsi="Times New Roman" w:eastAsia="宋体" w:cs="Times New Roman"/>
                <w:b w:val="0"/>
                <w:bCs/>
                <w:color w:val="auto"/>
                <w:sz w:val="24"/>
                <w:szCs w:val="21"/>
                <w:highlight w:val="none"/>
                <w:lang w:val="en-US" w:eastAsia="zh-CN"/>
              </w:rPr>
              <w:t>电堆276</w:t>
            </w:r>
            <w:r>
              <w:rPr>
                <w:rFonts w:hint="default" w:ascii="Times New Roman" w:hAnsi="Times New Roman" w:eastAsia="宋体" w:cs="Times New Roman"/>
                <w:bCs/>
                <w:color w:val="auto"/>
                <w:sz w:val="24"/>
                <w:szCs w:val="21"/>
                <w:highlight w:val="none"/>
                <w:lang w:val="en-US" w:eastAsia="zh-CN"/>
              </w:rPr>
              <w:t>4台/年</w:t>
            </w:r>
            <w:r>
              <w:rPr>
                <w:rFonts w:hint="eastAsia" w:cs="Times New Roman"/>
                <w:bCs/>
                <w:color w:val="auto"/>
                <w:sz w:val="24"/>
                <w:szCs w:val="21"/>
                <w:highlight w:val="none"/>
                <w:lang w:val="en-US" w:eastAsia="zh-CN"/>
              </w:rPr>
              <w:t>、尿素泵及接头120万件/年</w:t>
            </w:r>
            <w:r>
              <w:rPr>
                <w:rFonts w:hint="default" w:ascii="Times New Roman" w:hAnsi="Times New Roman" w:eastAsia="宋体" w:cs="Times New Roman"/>
                <w:b w:val="0"/>
                <w:bCs/>
                <w:color w:val="auto"/>
                <w:sz w:val="24"/>
                <w:szCs w:val="21"/>
                <w:highlight w:val="none"/>
              </w:rPr>
              <w:t>、清洗塑料周转箱180万个/年</w:t>
            </w:r>
            <w:r>
              <w:rPr>
                <w:rFonts w:hint="default" w:ascii="Times New Roman" w:hAnsi="Times New Roman" w:eastAsia="宋体" w:cs="Times New Roman"/>
                <w:bCs/>
                <w:color w:val="auto"/>
                <w:sz w:val="24"/>
                <w:szCs w:val="21"/>
                <w:highlight w:val="none"/>
              </w:rPr>
              <w:t>。</w:t>
            </w:r>
            <w:r>
              <w:rPr>
                <w:rFonts w:hint="eastAsia" w:cs="Times New Roman"/>
                <w:bCs/>
                <w:color w:val="auto"/>
                <w:sz w:val="24"/>
                <w:szCs w:val="21"/>
                <w:highlight w:val="none"/>
                <w:lang w:val="en-US" w:eastAsia="zh-Hans"/>
              </w:rPr>
              <w:t>里河路厂区产品及设计规模</w:t>
            </w:r>
            <w:r>
              <w:rPr>
                <w:rFonts w:hint="eastAsia" w:cs="Times New Roman"/>
                <w:bCs/>
                <w:color w:val="auto"/>
                <w:sz w:val="24"/>
                <w:szCs w:val="21"/>
                <w:highlight w:val="none"/>
                <w:lang w:val="en-US" w:eastAsia="zh-CN"/>
              </w:rPr>
              <w:t>不变，仍</w:t>
            </w:r>
            <w:r>
              <w:rPr>
                <w:rFonts w:hint="eastAsia" w:cs="Times New Roman"/>
                <w:bCs/>
                <w:color w:val="auto"/>
                <w:sz w:val="24"/>
                <w:szCs w:val="21"/>
                <w:highlight w:val="none"/>
                <w:lang w:val="en-US" w:eastAsia="zh-Hans"/>
              </w:rPr>
              <w:t>为</w:t>
            </w:r>
            <w:r>
              <w:rPr>
                <w:rFonts w:hint="default" w:cs="Times New Roman"/>
                <w:bCs/>
                <w:color w:val="auto"/>
                <w:sz w:val="24"/>
                <w:szCs w:val="21"/>
                <w:highlight w:val="none"/>
                <w:lang w:eastAsia="zh-Hans"/>
              </w:rPr>
              <w:t>：</w:t>
            </w:r>
            <w:r>
              <w:rPr>
                <w:rFonts w:hint="eastAsia" w:cs="Times New Roman"/>
                <w:bCs/>
                <w:color w:val="auto"/>
                <w:sz w:val="24"/>
                <w:szCs w:val="21"/>
                <w:highlight w:val="none"/>
                <w:lang w:val="en-US" w:eastAsia="zh-Hans"/>
              </w:rPr>
              <w:t>高压泵体</w:t>
            </w:r>
            <w:r>
              <w:rPr>
                <w:rFonts w:hint="default" w:cs="Times New Roman"/>
                <w:bCs/>
                <w:color w:val="auto"/>
                <w:sz w:val="24"/>
                <w:szCs w:val="21"/>
                <w:highlight w:val="none"/>
                <w:lang w:eastAsia="zh-Hans"/>
              </w:rPr>
              <w:t>1250</w:t>
            </w:r>
            <w:r>
              <w:rPr>
                <w:rFonts w:hint="eastAsia" w:cs="Times New Roman"/>
                <w:bCs/>
                <w:color w:val="auto"/>
                <w:sz w:val="24"/>
                <w:szCs w:val="21"/>
                <w:highlight w:val="none"/>
                <w:lang w:val="en-US" w:eastAsia="zh-Hans"/>
              </w:rPr>
              <w:t>万个</w:t>
            </w:r>
            <w:r>
              <w:rPr>
                <w:rFonts w:hint="default" w:cs="Times New Roman"/>
                <w:bCs/>
                <w:color w:val="auto"/>
                <w:sz w:val="24"/>
                <w:szCs w:val="21"/>
                <w:highlight w:val="none"/>
                <w:lang w:eastAsia="zh-Hans"/>
              </w:rPr>
              <w:t>/</w:t>
            </w:r>
            <w:r>
              <w:rPr>
                <w:rFonts w:hint="eastAsia" w:cs="Times New Roman"/>
                <w:bCs/>
                <w:color w:val="auto"/>
                <w:sz w:val="24"/>
                <w:szCs w:val="21"/>
                <w:highlight w:val="none"/>
                <w:lang w:val="en-US" w:eastAsia="zh-Hans"/>
              </w:rPr>
              <w:t>年</w:t>
            </w:r>
            <w:r>
              <w:rPr>
                <w:rFonts w:hint="default" w:cs="Times New Roman"/>
                <w:bCs/>
                <w:color w:val="auto"/>
                <w:sz w:val="24"/>
                <w:szCs w:val="21"/>
                <w:highlight w:val="none"/>
                <w:lang w:eastAsia="zh-Hans"/>
              </w:rPr>
              <w:t>。</w:t>
            </w:r>
          </w:p>
          <w:p>
            <w:pPr>
              <w:widowControl/>
              <w:wordWrap w:val="0"/>
              <w:adjustRightInd w:val="0"/>
              <w:snapToGrid w:val="0"/>
              <w:spacing w:line="500" w:lineRule="exact"/>
              <w:ind w:firstLine="480" w:firstLineChars="200"/>
              <w:rPr>
                <w:rFonts w:hint="default" w:cs="Times New Roman"/>
                <w:color w:val="auto"/>
                <w:sz w:val="24"/>
                <w:highlight w:val="none"/>
                <w:lang w:val="en-US" w:eastAsia="zh-CN"/>
              </w:rPr>
            </w:pPr>
            <w:r>
              <w:rPr>
                <w:rFonts w:hint="default" w:ascii="Times New Roman" w:hAnsi="Times New Roman" w:eastAsia="宋体" w:cs="Times New Roman"/>
                <w:color w:val="auto"/>
                <w:sz w:val="24"/>
                <w:highlight w:val="none"/>
              </w:rPr>
              <w:t>该项目已于202</w:t>
            </w:r>
            <w:r>
              <w:rPr>
                <w:rFonts w:hint="eastAsia" w:cs="Times New Roman"/>
                <w:color w:val="auto"/>
                <w:sz w:val="24"/>
                <w:highlight w:val="none"/>
                <w:lang w:val="en-US" w:eastAsia="zh-CN"/>
              </w:rPr>
              <w:t>0</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10月</w:t>
            </w:r>
            <w:r>
              <w:rPr>
                <w:rFonts w:hint="default" w:ascii="Times New Roman" w:hAnsi="Times New Roman" w:eastAsia="宋体" w:cs="Times New Roman"/>
                <w:color w:val="auto"/>
                <w:sz w:val="24"/>
                <w:highlight w:val="none"/>
              </w:rPr>
              <w:t>取得新吴区行政审批局的立项备案意见，项目代码：</w:t>
            </w:r>
            <w:r>
              <w:rPr>
                <w:rFonts w:hint="eastAsia" w:cs="Times New Roman"/>
                <w:color w:val="auto"/>
                <w:sz w:val="24"/>
                <w:highlight w:val="none"/>
                <w:lang w:val="en-US" w:eastAsia="zh-CN"/>
              </w:rPr>
              <w:t>2020-320214-36-03-668838</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由于本项目立项备案时间较早，项目法人单位仍为变更前名称：博世汽车柴油系统有限公司。</w:t>
            </w:r>
          </w:p>
          <w:p>
            <w:pPr>
              <w:widowControl/>
              <w:wordWrap w:val="0"/>
              <w:adjustRightInd w:val="0"/>
              <w:snapToGrid w:val="0"/>
              <w:spacing w:line="500" w:lineRule="exact"/>
              <w:ind w:firstLine="480" w:firstLineChars="200"/>
              <w:jc w:val="left"/>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根据《中华人民共和国环境保护法》和《中华人民共和国环境影响评价法》中的有关规定，项目需开展环境影响评价工作。对照《建设项目环境影响评价分类管理名录》，本项目类别属于“三十三、汽车制造业 36 ”中“71 汽车零部件及配件制造 367”中其他类，环评类别为报告表。因此，博世动力总成有限公司委托无锡市科泓环境工程技术有限责任公司编制该项目的环境影响报告表。环评单位以环评导则和相关法规标准为编制依据，编制了本项目环境影响报告表。</w:t>
            </w:r>
          </w:p>
          <w:p>
            <w:pPr>
              <w:adjustRightInd w:val="0"/>
              <w:snapToGrid w:val="0"/>
              <w:spacing w:line="500" w:lineRule="exact"/>
              <w:ind w:firstLine="600" w:firstLineChars="250"/>
              <w:jc w:val="left"/>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本项目所涉及的安全、消防、卫生等问题不属于本评价的范围，请公司按照国家相关法律、法规和有关标准执行。</w:t>
            </w:r>
          </w:p>
          <w:p>
            <w:pPr>
              <w:adjustRightInd w:val="0"/>
              <w:snapToGrid w:val="0"/>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劳动定员：本项目</w:t>
            </w:r>
            <w:r>
              <w:rPr>
                <w:rFonts w:hint="default" w:ascii="Times New Roman" w:hAnsi="Times New Roman" w:eastAsia="宋体" w:cs="Times New Roman"/>
                <w:color w:val="auto"/>
                <w:sz w:val="24"/>
                <w:highlight w:val="none"/>
                <w:lang w:val="en-US" w:eastAsia="zh-CN"/>
              </w:rPr>
              <w:t>新增</w:t>
            </w:r>
            <w:r>
              <w:rPr>
                <w:rFonts w:hint="default" w:ascii="Times New Roman" w:hAnsi="Times New Roman" w:eastAsia="宋体" w:cs="Times New Roman"/>
                <w:color w:val="auto"/>
                <w:sz w:val="24"/>
                <w:highlight w:val="none"/>
              </w:rPr>
              <w:t>员工</w:t>
            </w:r>
            <w:r>
              <w:rPr>
                <w:rFonts w:hint="eastAsia" w:cs="Times New Roman"/>
                <w:color w:val="auto"/>
                <w:sz w:val="24"/>
                <w:highlight w:val="none"/>
                <w:lang w:val="en-US" w:eastAsia="zh-CN"/>
              </w:rPr>
              <w:t>19</w:t>
            </w:r>
            <w:r>
              <w:rPr>
                <w:rFonts w:hint="default" w:ascii="Times New Roman" w:hAnsi="Times New Roman" w:eastAsia="宋体" w:cs="Times New Roman"/>
                <w:color w:val="auto"/>
                <w:sz w:val="24"/>
                <w:highlight w:val="none"/>
              </w:rPr>
              <w:t>人，</w:t>
            </w:r>
            <w:r>
              <w:rPr>
                <w:rFonts w:hint="default" w:ascii="Times New Roman" w:hAnsi="Times New Roman" w:eastAsia="宋体" w:cs="Times New Roman"/>
                <w:color w:val="auto"/>
                <w:sz w:val="24"/>
                <w:highlight w:val="none"/>
                <w:lang w:val="en-US" w:eastAsia="zh-CN"/>
              </w:rPr>
              <w:t>全厂定员61</w:t>
            </w:r>
            <w:r>
              <w:rPr>
                <w:rFonts w:hint="eastAsia" w:cs="Times New Roman"/>
                <w:color w:val="auto"/>
                <w:sz w:val="24"/>
                <w:highlight w:val="none"/>
                <w:lang w:val="en-US" w:eastAsia="zh-CN"/>
              </w:rPr>
              <w:t>68</w:t>
            </w:r>
            <w:r>
              <w:rPr>
                <w:rFonts w:hint="default" w:ascii="Times New Roman" w:hAnsi="Times New Roman" w:eastAsia="宋体" w:cs="Times New Roman"/>
                <w:color w:val="auto"/>
                <w:sz w:val="24"/>
                <w:highlight w:val="none"/>
                <w:lang w:val="en-US" w:eastAsia="zh-CN"/>
              </w:rPr>
              <w:t>人</w:t>
            </w:r>
            <w:r>
              <w:rPr>
                <w:rFonts w:hint="default" w:ascii="Times New Roman" w:hAnsi="Times New Roman" w:eastAsia="宋体" w:cs="Times New Roman"/>
                <w:color w:val="auto"/>
                <w:sz w:val="24"/>
                <w:highlight w:val="none"/>
              </w:rPr>
              <w:t>；</w:t>
            </w:r>
          </w:p>
          <w:p>
            <w:pPr>
              <w:adjustRightInd w:val="0"/>
              <w:snapToGrid w:val="0"/>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工作制度：本项目年生产天数</w:t>
            </w:r>
            <w:r>
              <w:rPr>
                <w:rFonts w:hint="eastAsia" w:cs="Times New Roman"/>
                <w:color w:val="auto"/>
                <w:sz w:val="24"/>
                <w:highlight w:val="none"/>
                <w:lang w:val="en-US" w:eastAsia="zh-CN"/>
              </w:rPr>
              <w:t>360</w:t>
            </w:r>
            <w:r>
              <w:rPr>
                <w:rFonts w:hint="default" w:ascii="Times New Roman" w:hAnsi="Times New Roman" w:eastAsia="宋体" w:cs="Times New Roman"/>
                <w:color w:val="auto"/>
                <w:sz w:val="24"/>
                <w:highlight w:val="none"/>
              </w:rPr>
              <w:t>天，8小时</w:t>
            </w:r>
            <w:r>
              <w:rPr>
                <w:rFonts w:hint="default" w:ascii="Times New Roman" w:hAnsi="Times New Roman" w:eastAsia="宋体" w:cs="Times New Roman"/>
                <w:color w:val="auto"/>
                <w:sz w:val="24"/>
                <w:highlight w:val="none"/>
                <w:lang w:val="en-US" w:eastAsia="zh-CN"/>
              </w:rPr>
              <w:t>三班</w:t>
            </w:r>
            <w:r>
              <w:rPr>
                <w:rFonts w:hint="default" w:ascii="Times New Roman" w:hAnsi="Times New Roman" w:eastAsia="宋体" w:cs="Times New Roman"/>
                <w:color w:val="auto"/>
                <w:sz w:val="24"/>
                <w:highlight w:val="none"/>
              </w:rPr>
              <w:t>工作制。</w:t>
            </w:r>
          </w:p>
          <w:p>
            <w:pPr>
              <w:adjustRightInd w:val="0"/>
              <w:snapToGrid w:val="0"/>
              <w:spacing w:line="500" w:lineRule="exact"/>
              <w:ind w:firstLine="435"/>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本项目不新增食堂、浴室、厕所，依托场内原有生活措施。</w:t>
            </w:r>
          </w:p>
          <w:p>
            <w:pPr>
              <w:adjustRightInd w:val="0"/>
              <w:snapToGrid w:val="0"/>
              <w:spacing w:line="500" w:lineRule="exact"/>
              <w:ind w:firstLine="435"/>
              <w:jc w:val="left"/>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二、工程内容</w:t>
            </w:r>
          </w:p>
          <w:p>
            <w:pPr>
              <w:adjustRightInd w:val="0"/>
              <w:snapToGrid w:val="0"/>
              <w:spacing w:line="500" w:lineRule="exact"/>
              <w:ind w:firstLine="435"/>
              <w:jc w:val="left"/>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全厂产品及产能详见下表2-1，工程内容详见下表2-2。</w:t>
            </w:r>
          </w:p>
          <w:p>
            <w:pPr>
              <w:adjustRightInd w:val="0"/>
              <w:snapToGrid w:val="0"/>
              <w:spacing w:line="500" w:lineRule="exact"/>
              <w:ind w:firstLine="435"/>
              <w:jc w:val="center"/>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表2-1   全厂产品及产能情况表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17"/>
              <w:gridCol w:w="1091"/>
              <w:gridCol w:w="1868"/>
              <w:gridCol w:w="1568"/>
              <w:gridCol w:w="1822"/>
              <w:gridCol w:w="1297"/>
              <w:gridCol w:w="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tblHeader/>
                <w:jc w:val="center"/>
              </w:trPr>
              <w:tc>
                <w:tcPr>
                  <w:tcW w:w="236" w:type="pct"/>
                  <w:vMerge w:val="restart"/>
                  <w:noWrap w:val="0"/>
                  <w:vAlign w:val="center"/>
                </w:tcPr>
                <w:p>
                  <w:pPr>
                    <w:adjustRightInd w:val="0"/>
                    <w:snapToGrid w:val="0"/>
                    <w:jc w:val="center"/>
                    <w:rPr>
                      <w:rFonts w:hint="default" w:ascii="Times New Roman" w:hAnsi="Times New Roman" w:eastAsia="宋体" w:cs="Times New Roman"/>
                      <w:b/>
                      <w:bCs/>
                      <w:snapToGrid w:val="0"/>
                      <w:color w:val="auto"/>
                      <w:kern w:val="0"/>
                      <w:szCs w:val="21"/>
                      <w:highlight w:val="none"/>
                    </w:rPr>
                  </w:pPr>
                  <w:r>
                    <w:rPr>
                      <w:rFonts w:hint="default" w:ascii="Times New Roman" w:hAnsi="Times New Roman" w:eastAsia="宋体" w:cs="Times New Roman"/>
                      <w:b/>
                      <w:bCs/>
                      <w:snapToGrid w:val="0"/>
                      <w:color w:val="auto"/>
                      <w:kern w:val="0"/>
                      <w:szCs w:val="21"/>
                      <w:highlight w:val="none"/>
                    </w:rPr>
                    <w:t>序号</w:t>
                  </w:r>
                </w:p>
              </w:tc>
              <w:tc>
                <w:tcPr>
                  <w:tcW w:w="619" w:type="pct"/>
                  <w:vMerge w:val="restart"/>
                  <w:noWrap w:val="0"/>
                  <w:vAlign w:val="center"/>
                </w:tcPr>
                <w:p>
                  <w:pPr>
                    <w:adjustRightInd w:val="0"/>
                    <w:snapToGrid w:val="0"/>
                    <w:jc w:val="center"/>
                    <w:rPr>
                      <w:rFonts w:hint="default" w:ascii="Times New Roman" w:hAnsi="Times New Roman" w:eastAsia="宋体" w:cs="Times New Roman"/>
                      <w:b/>
                      <w:bCs/>
                      <w:snapToGrid w:val="0"/>
                      <w:color w:val="auto"/>
                      <w:kern w:val="0"/>
                      <w:szCs w:val="21"/>
                      <w:highlight w:val="none"/>
                    </w:rPr>
                  </w:pPr>
                  <w:r>
                    <w:rPr>
                      <w:rFonts w:hint="default" w:ascii="Times New Roman" w:hAnsi="Times New Roman" w:eastAsia="宋体" w:cs="Times New Roman"/>
                      <w:b/>
                      <w:bCs/>
                      <w:snapToGrid w:val="0"/>
                      <w:color w:val="auto"/>
                      <w:kern w:val="0"/>
                      <w:szCs w:val="21"/>
                      <w:highlight w:val="none"/>
                    </w:rPr>
                    <w:t>工程名称</w:t>
                  </w:r>
                </w:p>
              </w:tc>
              <w:tc>
                <w:tcPr>
                  <w:tcW w:w="1060" w:type="pct"/>
                  <w:vMerge w:val="restart"/>
                  <w:noWrap w:val="0"/>
                  <w:vAlign w:val="center"/>
                </w:tcPr>
                <w:p>
                  <w:pPr>
                    <w:adjustRightInd w:val="0"/>
                    <w:snapToGrid w:val="0"/>
                    <w:jc w:val="center"/>
                    <w:rPr>
                      <w:rFonts w:hint="default" w:ascii="Times New Roman" w:hAnsi="Times New Roman" w:eastAsia="宋体" w:cs="Times New Roman"/>
                      <w:b/>
                      <w:bCs/>
                      <w:snapToGrid w:val="0"/>
                      <w:color w:val="auto"/>
                      <w:kern w:val="0"/>
                      <w:szCs w:val="21"/>
                      <w:highlight w:val="none"/>
                    </w:rPr>
                  </w:pPr>
                  <w:r>
                    <w:rPr>
                      <w:rFonts w:hint="default" w:ascii="Times New Roman" w:hAnsi="Times New Roman" w:eastAsia="宋体" w:cs="Times New Roman"/>
                      <w:b/>
                      <w:bCs/>
                      <w:snapToGrid w:val="0"/>
                      <w:color w:val="auto"/>
                      <w:kern w:val="0"/>
                      <w:szCs w:val="21"/>
                      <w:highlight w:val="none"/>
                    </w:rPr>
                    <w:t>产品名称及规格</w:t>
                  </w:r>
                </w:p>
              </w:tc>
              <w:tc>
                <w:tcPr>
                  <w:tcW w:w="2661" w:type="pct"/>
                  <w:gridSpan w:val="3"/>
                  <w:noWrap w:val="0"/>
                  <w:vAlign w:val="center"/>
                </w:tcPr>
                <w:p>
                  <w:pPr>
                    <w:pStyle w:val="64"/>
                    <w:widowControl w:val="0"/>
                    <w:adjustRightInd w:val="0"/>
                    <w:snapToGrid w:val="0"/>
                    <w:spacing w:before="0" w:beforeAutospacing="0" w:after="0" w:afterAutospacing="0"/>
                    <w:ind w:firstLine="422"/>
                    <w:rPr>
                      <w:rFonts w:hint="default" w:ascii="Times New Roman" w:hAnsi="Times New Roman" w:eastAsia="宋体" w:cs="Times New Roman"/>
                      <w:b/>
                      <w:bCs/>
                      <w:snapToGrid w:val="0"/>
                      <w:color w:val="auto"/>
                      <w:sz w:val="21"/>
                      <w:szCs w:val="21"/>
                      <w:highlight w:val="none"/>
                    </w:rPr>
                  </w:pPr>
                  <w:r>
                    <w:rPr>
                      <w:rFonts w:hint="default" w:ascii="Times New Roman" w:hAnsi="Times New Roman" w:eastAsia="宋体" w:cs="Times New Roman"/>
                      <w:b/>
                      <w:bCs/>
                      <w:snapToGrid w:val="0"/>
                      <w:color w:val="auto"/>
                      <w:sz w:val="21"/>
                      <w:szCs w:val="21"/>
                      <w:highlight w:val="none"/>
                    </w:rPr>
                    <w:t>设计生产能力</w:t>
                  </w:r>
                </w:p>
              </w:tc>
              <w:tc>
                <w:tcPr>
                  <w:tcW w:w="421" w:type="pct"/>
                  <w:vMerge w:val="restart"/>
                  <w:noWrap w:val="0"/>
                  <w:vAlign w:val="center"/>
                </w:tcPr>
                <w:p>
                  <w:pPr>
                    <w:adjustRightInd w:val="0"/>
                    <w:snapToGrid w:val="0"/>
                    <w:jc w:val="center"/>
                    <w:rPr>
                      <w:rFonts w:hint="default" w:ascii="Times New Roman" w:hAnsi="Times New Roman" w:eastAsia="宋体" w:cs="Times New Roman"/>
                      <w:b/>
                      <w:bCs/>
                      <w:snapToGrid w:val="0"/>
                      <w:color w:val="auto"/>
                      <w:kern w:val="0"/>
                      <w:szCs w:val="21"/>
                      <w:highlight w:val="none"/>
                    </w:rPr>
                  </w:pPr>
                  <w:r>
                    <w:rPr>
                      <w:rFonts w:hint="default" w:ascii="Times New Roman" w:hAnsi="Times New Roman" w:eastAsia="宋体" w:cs="Times New Roman"/>
                      <w:b/>
                      <w:bCs/>
                      <w:snapToGrid w:val="0"/>
                      <w:color w:val="auto"/>
                      <w:kern w:val="0"/>
                      <w:szCs w:val="21"/>
                      <w:highlight w:val="none"/>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6"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619" w:type="pct"/>
                  <w:vMerge w:val="continue"/>
                  <w:tcBorders>
                    <w:bottom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vMerge w:val="continue"/>
                  <w:tcBorders>
                    <w:bottom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890" w:type="pct"/>
                  <w:tcBorders>
                    <w:bottom w:val="single" w:color="auto" w:sz="4" w:space="0"/>
                  </w:tcBorders>
                  <w:noWrap w:val="0"/>
                  <w:vAlign w:val="center"/>
                </w:tcPr>
                <w:p>
                  <w:pPr>
                    <w:adjustRightInd w:val="0"/>
                    <w:snapToGrid w:val="0"/>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扩建前</w:t>
                  </w:r>
                </w:p>
              </w:tc>
              <w:tc>
                <w:tcPr>
                  <w:tcW w:w="1034" w:type="pct"/>
                  <w:tcBorders>
                    <w:bottom w:val="single" w:color="auto" w:sz="4" w:space="0"/>
                  </w:tcBorders>
                  <w:noWrap w:val="0"/>
                  <w:vAlign w:val="center"/>
                </w:tcPr>
                <w:p>
                  <w:pPr>
                    <w:adjustRightInd w:val="0"/>
                    <w:snapToGrid w:val="0"/>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扩建后</w:t>
                  </w:r>
                </w:p>
              </w:tc>
              <w:tc>
                <w:tcPr>
                  <w:tcW w:w="736" w:type="pct"/>
                  <w:tcBorders>
                    <w:bottom w:val="single" w:color="auto" w:sz="4" w:space="0"/>
                  </w:tcBorders>
                  <w:noWrap w:val="0"/>
                  <w:vAlign w:val="center"/>
                </w:tcPr>
                <w:p>
                  <w:pPr>
                    <w:adjustRightInd w:val="0"/>
                    <w:snapToGrid w:val="0"/>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增量</w:t>
                  </w:r>
                </w:p>
              </w:tc>
              <w:tc>
                <w:tcPr>
                  <w:tcW w:w="421" w:type="pct"/>
                  <w:vMerge w:val="continue"/>
                  <w:tcBorders>
                    <w:bottom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1</w:t>
                  </w:r>
                </w:p>
              </w:tc>
              <w:tc>
                <w:tcPr>
                  <w:tcW w:w="619" w:type="pct"/>
                  <w:vMerge w:val="restart"/>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新华路工厂301车间</w:t>
                  </w:r>
                </w:p>
              </w:tc>
              <w:tc>
                <w:tcPr>
                  <w:tcW w:w="1060" w:type="pct"/>
                  <w:tcBorders>
                    <w:top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喷油器</w:t>
                  </w:r>
                </w:p>
              </w:tc>
              <w:tc>
                <w:tcPr>
                  <w:tcW w:w="890" w:type="pct"/>
                  <w:tcBorders>
                    <w:top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1000万支/年</w:t>
                  </w:r>
                </w:p>
              </w:tc>
              <w:tc>
                <w:tcPr>
                  <w:tcW w:w="1034" w:type="pct"/>
                  <w:tcBorders>
                    <w:top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1000万支/年</w:t>
                  </w:r>
                </w:p>
              </w:tc>
              <w:tc>
                <w:tcPr>
                  <w:tcW w:w="736" w:type="pct"/>
                  <w:tcBorders>
                    <w:top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0</w:t>
                  </w:r>
                </w:p>
              </w:tc>
              <w:tc>
                <w:tcPr>
                  <w:tcW w:w="421" w:type="pct"/>
                  <w:tcBorders>
                    <w:top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8400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2</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color w:val="auto"/>
                      <w:szCs w:val="21"/>
                      <w:highlight w:val="none"/>
                    </w:rPr>
                    <w:t>喷油器阀座镀铬生产线</w:t>
                  </w:r>
                </w:p>
              </w:tc>
              <w:tc>
                <w:tcPr>
                  <w:tcW w:w="890"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color w:val="auto"/>
                      <w:szCs w:val="21"/>
                      <w:highlight w:val="none"/>
                    </w:rPr>
                    <w:t>镀铬加工467.2万个/年</w:t>
                  </w:r>
                </w:p>
              </w:tc>
              <w:tc>
                <w:tcPr>
                  <w:tcW w:w="1034"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color w:val="auto"/>
                      <w:szCs w:val="21"/>
                      <w:highlight w:val="none"/>
                    </w:rPr>
                    <w:t>镀铬加工467.2万个/年</w:t>
                  </w:r>
                </w:p>
              </w:tc>
              <w:tc>
                <w:tcPr>
                  <w:tcW w:w="736"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0</w:t>
                  </w:r>
                </w:p>
              </w:tc>
              <w:tc>
                <w:tcPr>
                  <w:tcW w:w="421"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6720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3</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再制造喷油器</w:t>
                  </w:r>
                </w:p>
              </w:tc>
              <w:tc>
                <w:tcPr>
                  <w:tcW w:w="890"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70万只/年</w:t>
                  </w:r>
                </w:p>
              </w:tc>
              <w:tc>
                <w:tcPr>
                  <w:tcW w:w="1034"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70万只/年</w:t>
                  </w:r>
                </w:p>
              </w:tc>
              <w:tc>
                <w:tcPr>
                  <w:tcW w:w="736"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w:t>
                  </w:r>
                </w:p>
              </w:tc>
              <w:tc>
                <w:tcPr>
                  <w:tcW w:w="421"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6720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4</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三维塑料件</w:t>
                  </w:r>
                </w:p>
              </w:tc>
              <w:tc>
                <w:tcPr>
                  <w:tcW w:w="890"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100件/年</w:t>
                  </w:r>
                </w:p>
              </w:tc>
              <w:tc>
                <w:tcPr>
                  <w:tcW w:w="1034"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100件/年</w:t>
                  </w:r>
                </w:p>
              </w:tc>
              <w:tc>
                <w:tcPr>
                  <w:tcW w:w="736"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color w:val="auto"/>
                      <w:szCs w:val="21"/>
                      <w:highlight w:val="none"/>
                    </w:rPr>
                    <w:t>0</w:t>
                  </w:r>
                </w:p>
              </w:tc>
              <w:tc>
                <w:tcPr>
                  <w:tcW w:w="421"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6720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5</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snapToGrid w:val="0"/>
                      <w:color w:val="auto"/>
                      <w:kern w:val="0"/>
                      <w:szCs w:val="21"/>
                      <w:highlight w:val="none"/>
                    </w:rPr>
                    <w:t>后国六/国七共轨喷油器</w:t>
                  </w:r>
                </w:p>
              </w:tc>
              <w:tc>
                <w:tcPr>
                  <w:tcW w:w="890"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snapToGrid w:val="0"/>
                      <w:color w:val="auto"/>
                      <w:kern w:val="0"/>
                      <w:szCs w:val="21"/>
                      <w:highlight w:val="none"/>
                    </w:rPr>
                    <w:t>160万支/年</w:t>
                  </w:r>
                </w:p>
              </w:tc>
              <w:tc>
                <w:tcPr>
                  <w:tcW w:w="1034"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snapToGrid w:val="0"/>
                      <w:color w:val="auto"/>
                      <w:kern w:val="0"/>
                      <w:szCs w:val="21"/>
                      <w:highlight w:val="none"/>
                    </w:rPr>
                    <w:t>160万支/年</w:t>
                  </w:r>
                </w:p>
              </w:tc>
              <w:tc>
                <w:tcPr>
                  <w:tcW w:w="736" w:type="pct"/>
                  <w:tcBorders>
                    <w:top w:val="single" w:color="auto" w:sz="4" w:space="0"/>
                  </w:tcBorders>
                  <w:noWrap w:val="0"/>
                  <w:vAlign w:val="center"/>
                </w:tcPr>
                <w:p>
                  <w:pPr>
                    <w:adjustRightInd w:val="0"/>
                    <w:snapToGrid w:val="0"/>
                    <w:ind w:left="-105" w:leftChars="-50" w:right="-105" w:rightChars="-5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0</w:t>
                  </w:r>
                </w:p>
              </w:tc>
              <w:tc>
                <w:tcPr>
                  <w:tcW w:w="421"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8400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6</w:t>
                  </w:r>
                </w:p>
              </w:tc>
              <w:tc>
                <w:tcPr>
                  <w:tcW w:w="619" w:type="pct"/>
                  <w:vMerge w:val="restart"/>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新华路工厂302车间</w:t>
                  </w:r>
                </w:p>
              </w:tc>
              <w:tc>
                <w:tcPr>
                  <w:tcW w:w="1060"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eastAsia" w:cs="Times New Roman"/>
                      <w:b w:val="0"/>
                      <w:bCs w:val="0"/>
                      <w:snapToGrid w:val="0"/>
                      <w:color w:val="auto"/>
                      <w:kern w:val="0"/>
                      <w:szCs w:val="21"/>
                      <w:highlight w:val="none"/>
                      <w:lang w:val="en-US" w:eastAsia="zh-Hans"/>
                    </w:rPr>
                    <w:t>共轨</w:t>
                  </w:r>
                  <w:r>
                    <w:rPr>
                      <w:rFonts w:hint="default" w:ascii="Times New Roman" w:hAnsi="Times New Roman" w:eastAsia="宋体" w:cs="Times New Roman"/>
                      <w:b w:val="0"/>
                      <w:bCs w:val="0"/>
                      <w:snapToGrid w:val="0"/>
                      <w:color w:val="auto"/>
                      <w:kern w:val="0"/>
                      <w:szCs w:val="21"/>
                      <w:highlight w:val="none"/>
                    </w:rPr>
                    <w:t>油嘴</w:t>
                  </w:r>
                </w:p>
              </w:tc>
              <w:tc>
                <w:tcPr>
                  <w:tcW w:w="890"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snapToGrid w:val="0"/>
                      <w:color w:val="auto"/>
                      <w:kern w:val="0"/>
                      <w:szCs w:val="21"/>
                      <w:highlight w:val="none"/>
                    </w:rPr>
                    <w:t>2000万付/年</w:t>
                  </w:r>
                </w:p>
              </w:tc>
              <w:tc>
                <w:tcPr>
                  <w:tcW w:w="1034"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snapToGrid w:val="0"/>
                      <w:color w:val="auto"/>
                      <w:kern w:val="0"/>
                      <w:szCs w:val="21"/>
                      <w:highlight w:val="none"/>
                    </w:rPr>
                    <w:t>2000万付/年</w:t>
                  </w:r>
                </w:p>
              </w:tc>
              <w:tc>
                <w:tcPr>
                  <w:tcW w:w="736" w:type="pct"/>
                  <w:tcBorders>
                    <w:top w:val="single" w:color="auto" w:sz="4" w:space="0"/>
                  </w:tcBorders>
                  <w:noWrap w:val="0"/>
                  <w:vAlign w:val="center"/>
                </w:tcPr>
                <w:p>
                  <w:pPr>
                    <w:adjustRightInd w:val="0"/>
                    <w:snapToGrid w:val="0"/>
                    <w:ind w:left="-105" w:leftChars="-50" w:right="-105" w:rightChars="-5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0</w:t>
                  </w:r>
                </w:p>
              </w:tc>
              <w:tc>
                <w:tcPr>
                  <w:tcW w:w="421"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8400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7</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再制造尾气后处理系统</w:t>
                  </w:r>
                </w:p>
              </w:tc>
              <w:tc>
                <w:tcPr>
                  <w:tcW w:w="890"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10万个/年</w:t>
                  </w:r>
                </w:p>
              </w:tc>
              <w:tc>
                <w:tcPr>
                  <w:tcW w:w="1034"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10万个/年</w:t>
                  </w:r>
                </w:p>
              </w:tc>
              <w:tc>
                <w:tcPr>
                  <w:tcW w:w="736"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w:t>
                  </w:r>
                </w:p>
              </w:tc>
              <w:tc>
                <w:tcPr>
                  <w:tcW w:w="421"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6720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8</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尾气后处理系统</w:t>
                  </w:r>
                </w:p>
              </w:tc>
              <w:tc>
                <w:tcPr>
                  <w:tcW w:w="89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287万个/年</w:t>
                  </w:r>
                </w:p>
              </w:tc>
              <w:tc>
                <w:tcPr>
                  <w:tcW w:w="1034" w:type="pct"/>
                  <w:noWrap w:val="0"/>
                  <w:vAlign w:val="center"/>
                </w:tcPr>
                <w:p>
                  <w:pPr>
                    <w:adjustRightInd w:val="0"/>
                    <w:snapToGrid w:val="0"/>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rPr>
                    <w:t>287万个/年</w:t>
                  </w:r>
                  <w:r>
                    <w:rPr>
                      <w:rFonts w:hint="eastAsia" w:cs="Times New Roman"/>
                      <w:b w:val="0"/>
                      <w:bCs w:val="0"/>
                      <w:color w:val="auto"/>
                      <w:szCs w:val="21"/>
                      <w:highlight w:val="none"/>
                      <w:lang w:eastAsia="zh-CN"/>
                    </w:rPr>
                    <w:t>（</w:t>
                  </w:r>
                  <w:r>
                    <w:rPr>
                      <w:rFonts w:hint="eastAsia" w:cs="Times New Roman"/>
                      <w:b w:val="0"/>
                      <w:bCs w:val="0"/>
                      <w:color w:val="auto"/>
                      <w:szCs w:val="21"/>
                      <w:highlight w:val="none"/>
                      <w:lang w:val="en-US" w:eastAsia="zh-CN"/>
                    </w:rPr>
                    <w:t>其中102万个的</w:t>
                  </w:r>
                  <w:r>
                    <w:rPr>
                      <w:rFonts w:hint="eastAsia"/>
                      <w:b w:val="0"/>
                      <w:bCs w:val="0"/>
                      <w:color w:val="auto"/>
                      <w:lang w:val="en-US" w:eastAsia="zh-CN"/>
                    </w:rPr>
                    <w:t>尿素泵及接头</w:t>
                  </w:r>
                  <w:r>
                    <w:rPr>
                      <w:rFonts w:hint="eastAsia" w:cs="Times New Roman"/>
                      <w:b w:val="0"/>
                      <w:bCs w:val="0"/>
                      <w:color w:val="auto"/>
                      <w:szCs w:val="21"/>
                      <w:highlight w:val="none"/>
                      <w:lang w:val="en-US" w:eastAsia="zh-CN"/>
                    </w:rPr>
                    <w:t>采用自行生产的零部件</w:t>
                  </w:r>
                  <w:r>
                    <w:rPr>
                      <w:rFonts w:hint="eastAsia" w:cs="Times New Roman"/>
                      <w:b w:val="0"/>
                      <w:bCs w:val="0"/>
                      <w:color w:val="auto"/>
                      <w:szCs w:val="21"/>
                      <w:highlight w:val="none"/>
                      <w:lang w:eastAsia="zh-CN"/>
                    </w:rPr>
                    <w:t>）</w:t>
                  </w:r>
                </w:p>
              </w:tc>
              <w:tc>
                <w:tcPr>
                  <w:tcW w:w="73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kern w:val="0"/>
                      <w:szCs w:val="21"/>
                      <w:highlight w:val="none"/>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6720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236" w:type="pct"/>
                  <w:noWrap w:val="0"/>
                  <w:vAlign w:val="center"/>
                </w:tcPr>
                <w:p>
                  <w:pPr>
                    <w:adjustRightInd w:val="0"/>
                    <w:snapToGrid w:val="0"/>
                    <w:jc w:val="center"/>
                    <w:rPr>
                      <w:rFonts w:hint="eastAsia"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9</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noWrap w:val="0"/>
                  <w:vAlign w:val="center"/>
                </w:tcPr>
                <w:p>
                  <w:pPr>
                    <w:adjustRightInd w:val="0"/>
                    <w:snapToGrid w:val="0"/>
                    <w:jc w:val="center"/>
                    <w:rPr>
                      <w:rFonts w:hint="default" w:ascii="Times New Roman" w:hAnsi="Times New Roman" w:eastAsia="宋体" w:cs="Times New Roman"/>
                      <w:b w:val="0"/>
                      <w:bCs w:val="0"/>
                      <w:color w:val="auto"/>
                      <w:kern w:val="2"/>
                      <w:sz w:val="21"/>
                      <w:szCs w:val="24"/>
                      <w:lang w:val="en-US" w:eastAsia="zh-CN" w:bidi="ar-SA"/>
                    </w:rPr>
                  </w:pPr>
                  <w:r>
                    <w:rPr>
                      <w:rFonts w:hint="eastAsia"/>
                      <w:b w:val="0"/>
                      <w:bCs w:val="0"/>
                      <w:color w:val="auto"/>
                      <w:lang w:val="en-US" w:eastAsia="zh-CN"/>
                    </w:rPr>
                    <w:t>尿素泵及接头</w:t>
                  </w:r>
                </w:p>
              </w:tc>
              <w:tc>
                <w:tcPr>
                  <w:tcW w:w="890" w:type="pct"/>
                  <w:noWrap w:val="0"/>
                  <w:vAlign w:val="center"/>
                </w:tcPr>
                <w:p>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0</w:t>
                  </w:r>
                </w:p>
              </w:tc>
              <w:tc>
                <w:tcPr>
                  <w:tcW w:w="1034" w:type="pct"/>
                  <w:noWrap w:val="0"/>
                  <w:vAlign w:val="center"/>
                </w:tcPr>
                <w:p>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120万件/年（其中102万件用于尾气后处理系统）</w:t>
                  </w:r>
                </w:p>
              </w:tc>
              <w:tc>
                <w:tcPr>
                  <w:tcW w:w="736" w:type="pct"/>
                  <w:noWrap w:val="0"/>
                  <w:vAlign w:val="center"/>
                </w:tcPr>
                <w:p>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0"/>
                      <w:szCs w:val="21"/>
                      <w:highlight w:val="none"/>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Cs w:val="21"/>
                      <w:highlight w:val="none"/>
                      <w:lang w:val="en-US" w:eastAsia="zh-CN"/>
                    </w:rPr>
                    <w:t>8640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10</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snapToGrid w:val="0"/>
                      <w:color w:val="auto"/>
                      <w:kern w:val="0"/>
                      <w:szCs w:val="21"/>
                      <w:highlight w:val="none"/>
                    </w:rPr>
                    <w:t>喷油器阀座氮化铬涂层加工</w:t>
                  </w:r>
                </w:p>
              </w:tc>
              <w:tc>
                <w:tcPr>
                  <w:tcW w:w="890" w:type="pct"/>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snapToGrid w:val="0"/>
                      <w:color w:val="auto"/>
                      <w:kern w:val="0"/>
                      <w:szCs w:val="21"/>
                      <w:highlight w:val="none"/>
                    </w:rPr>
                    <w:t>氮化铬涂层加工770万个/年</w:t>
                  </w:r>
                </w:p>
              </w:tc>
              <w:tc>
                <w:tcPr>
                  <w:tcW w:w="1034" w:type="pct"/>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snapToGrid w:val="0"/>
                      <w:color w:val="auto"/>
                      <w:kern w:val="0"/>
                      <w:szCs w:val="21"/>
                      <w:highlight w:val="none"/>
                    </w:rPr>
                    <w:t>氮化铬涂层加工770万个/年</w:t>
                  </w:r>
                </w:p>
              </w:tc>
              <w:tc>
                <w:tcPr>
                  <w:tcW w:w="73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kern w:val="0"/>
                      <w:szCs w:val="21"/>
                      <w:highlight w:val="none"/>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8400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eastAsia" w:ascii="Times New Roman" w:hAnsi="Times New Roman" w:eastAsia="宋体" w:cs="Times New Roman"/>
                      <w:snapToGrid w:val="0"/>
                      <w:color w:val="auto"/>
                      <w:kern w:val="0"/>
                      <w:szCs w:val="21"/>
                      <w:highlight w:val="none"/>
                      <w:lang w:eastAsia="zh-CN"/>
                    </w:rPr>
                  </w:pPr>
                  <w:r>
                    <w:rPr>
                      <w:rFonts w:hint="default" w:ascii="Times New Roman" w:hAnsi="Times New Roman" w:eastAsia="宋体" w:cs="Times New Roman"/>
                      <w:snapToGrid w:val="0"/>
                      <w:color w:val="auto"/>
                      <w:kern w:val="0"/>
                      <w:szCs w:val="21"/>
                      <w:highlight w:val="none"/>
                    </w:rPr>
                    <w:t>1</w:t>
                  </w:r>
                  <w:r>
                    <w:rPr>
                      <w:rFonts w:hint="eastAsia" w:cs="Times New Roman"/>
                      <w:snapToGrid w:val="0"/>
                      <w:color w:val="auto"/>
                      <w:kern w:val="0"/>
                      <w:szCs w:val="21"/>
                      <w:highlight w:val="none"/>
                      <w:lang w:val="en-US" w:eastAsia="zh-CN"/>
                    </w:rPr>
                    <w:t>1</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lang w:val="en-US" w:eastAsia="zh-CN"/>
                    </w:rPr>
                  </w:pPr>
                  <w:r>
                    <w:rPr>
                      <w:rFonts w:hint="default" w:ascii="Times New Roman" w:hAnsi="Times New Roman" w:eastAsia="宋体" w:cs="Times New Roman"/>
                      <w:b w:val="0"/>
                      <w:bCs w:val="0"/>
                      <w:snapToGrid w:val="0"/>
                      <w:color w:val="auto"/>
                      <w:kern w:val="0"/>
                      <w:szCs w:val="21"/>
                      <w:highlight w:val="none"/>
                    </w:rPr>
                    <w:t>共轨油轨</w:t>
                  </w:r>
                </w:p>
              </w:tc>
              <w:tc>
                <w:tcPr>
                  <w:tcW w:w="890" w:type="pct"/>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snapToGrid w:val="0"/>
                      <w:color w:val="auto"/>
                      <w:kern w:val="0"/>
                      <w:szCs w:val="21"/>
                      <w:highlight w:val="none"/>
                    </w:rPr>
                    <w:t>280万个/年</w:t>
                  </w:r>
                </w:p>
              </w:tc>
              <w:tc>
                <w:tcPr>
                  <w:tcW w:w="1034" w:type="pct"/>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lang w:val="en-US" w:eastAsia="zh-CN"/>
                    </w:rPr>
                  </w:pPr>
                  <w:r>
                    <w:rPr>
                      <w:rFonts w:hint="default" w:ascii="Times New Roman" w:hAnsi="Times New Roman" w:eastAsia="宋体" w:cs="Times New Roman"/>
                      <w:b w:val="0"/>
                      <w:bCs w:val="0"/>
                      <w:snapToGrid w:val="0"/>
                      <w:color w:val="auto"/>
                      <w:kern w:val="0"/>
                      <w:szCs w:val="21"/>
                      <w:highlight w:val="none"/>
                    </w:rPr>
                    <w:t>280万个/年</w:t>
                  </w:r>
                  <w:r>
                    <w:rPr>
                      <w:rFonts w:hint="eastAsia" w:cs="Times New Roman"/>
                      <w:b/>
                      <w:bCs/>
                      <w:snapToGrid w:val="0"/>
                      <w:color w:val="auto"/>
                      <w:kern w:val="0"/>
                      <w:szCs w:val="21"/>
                      <w:highlight w:val="none"/>
                      <w:lang w:val="en-US" w:eastAsia="zh-CN"/>
                    </w:rPr>
                    <w:t>（含强化轨体78万件/年）</w:t>
                  </w:r>
                </w:p>
              </w:tc>
              <w:tc>
                <w:tcPr>
                  <w:tcW w:w="736"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lang w:val="en-US" w:eastAsia="zh-CN"/>
                    </w:rPr>
                  </w:pPr>
                  <w:r>
                    <w:rPr>
                      <w:rFonts w:hint="default" w:ascii="Times New Roman" w:hAnsi="Times New Roman" w:eastAsia="宋体" w:cs="Times New Roman"/>
                      <w:snapToGrid w:val="0"/>
                      <w:color w:val="auto"/>
                      <w:kern w:val="0"/>
                      <w:szCs w:val="21"/>
                      <w:highlight w:val="none"/>
                    </w:rPr>
                    <w:t>8</w:t>
                  </w:r>
                  <w:r>
                    <w:rPr>
                      <w:rFonts w:hint="eastAsia" w:cs="Times New Roman"/>
                      <w:snapToGrid w:val="0"/>
                      <w:color w:val="auto"/>
                      <w:kern w:val="0"/>
                      <w:szCs w:val="21"/>
                      <w:highlight w:val="none"/>
                      <w:lang w:val="en-US" w:eastAsia="zh-CN"/>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Cs w:val="21"/>
                      <w:highlight w:val="none"/>
                      <w:lang w:val="en-US" w:eastAsia="zh-CN"/>
                    </w:rPr>
                    <w:t>12</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snapToGrid w:val="0"/>
                      <w:color w:val="auto"/>
                      <w:kern w:val="0"/>
                      <w:szCs w:val="21"/>
                      <w:highlight w:val="none"/>
                    </w:rPr>
                    <w:t>热处理加工阀座</w:t>
                  </w:r>
                </w:p>
              </w:tc>
              <w:tc>
                <w:tcPr>
                  <w:tcW w:w="890" w:type="pct"/>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snapToGrid w:val="0"/>
                      <w:color w:val="auto"/>
                      <w:kern w:val="0"/>
                      <w:szCs w:val="21"/>
                      <w:highlight w:val="none"/>
                    </w:rPr>
                    <w:t>300万个/年</w:t>
                  </w:r>
                </w:p>
              </w:tc>
              <w:tc>
                <w:tcPr>
                  <w:tcW w:w="1034" w:type="pct"/>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snapToGrid w:val="0"/>
                      <w:color w:val="auto"/>
                      <w:kern w:val="0"/>
                      <w:szCs w:val="21"/>
                      <w:highlight w:val="none"/>
                    </w:rPr>
                    <w:t>300万个/年</w:t>
                  </w:r>
                </w:p>
              </w:tc>
              <w:tc>
                <w:tcPr>
                  <w:tcW w:w="736"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8400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Cs w:val="21"/>
                      <w:highlight w:val="none"/>
                    </w:rPr>
                    <w:t>1</w:t>
                  </w:r>
                  <w:r>
                    <w:rPr>
                      <w:rFonts w:hint="eastAsia" w:cs="Times New Roman"/>
                      <w:snapToGrid w:val="0"/>
                      <w:color w:val="auto"/>
                      <w:kern w:val="0"/>
                      <w:szCs w:val="21"/>
                      <w:highlight w:val="none"/>
                      <w:lang w:val="en-US" w:eastAsia="zh-CN"/>
                    </w:rPr>
                    <w:t>3</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color w:val="auto"/>
                      <w:szCs w:val="21"/>
                      <w:highlight w:val="none"/>
                    </w:rPr>
                    <w:t>柴油发动机零件类金刚石涂层（针阀、柱塞、销子）</w:t>
                  </w:r>
                </w:p>
              </w:tc>
              <w:tc>
                <w:tcPr>
                  <w:tcW w:w="890" w:type="pct"/>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color w:val="auto"/>
                      <w:szCs w:val="21"/>
                      <w:highlight w:val="none"/>
                    </w:rPr>
                    <w:t>1200万个</w:t>
                  </w:r>
                  <w:r>
                    <w:rPr>
                      <w:rFonts w:hint="default" w:ascii="Times New Roman" w:hAnsi="Times New Roman" w:eastAsia="宋体" w:cs="Times New Roman"/>
                      <w:b w:val="0"/>
                      <w:bCs w:val="0"/>
                      <w:snapToGrid w:val="0"/>
                      <w:color w:val="auto"/>
                      <w:kern w:val="0"/>
                      <w:szCs w:val="21"/>
                      <w:highlight w:val="none"/>
                    </w:rPr>
                    <w:t>/年</w:t>
                  </w:r>
                </w:p>
              </w:tc>
              <w:tc>
                <w:tcPr>
                  <w:tcW w:w="1034" w:type="pct"/>
                  <w:noWrap w:val="0"/>
                  <w:vAlign w:val="center"/>
                </w:tcPr>
                <w:p>
                  <w:pPr>
                    <w:adjustRightInd w:val="0"/>
                    <w:snapToGrid w:val="0"/>
                    <w:jc w:val="center"/>
                    <w:rPr>
                      <w:rFonts w:hint="default" w:ascii="Times New Roman" w:hAnsi="Times New Roman" w:eastAsia="宋体" w:cs="Times New Roman"/>
                      <w:b w:val="0"/>
                      <w:bCs w:val="0"/>
                      <w:snapToGrid w:val="0"/>
                      <w:color w:val="auto"/>
                      <w:kern w:val="0"/>
                      <w:szCs w:val="21"/>
                      <w:highlight w:val="none"/>
                    </w:rPr>
                  </w:pPr>
                  <w:r>
                    <w:rPr>
                      <w:rFonts w:hint="default" w:ascii="Times New Roman" w:hAnsi="Times New Roman" w:eastAsia="宋体" w:cs="Times New Roman"/>
                      <w:b w:val="0"/>
                      <w:bCs w:val="0"/>
                      <w:color w:val="auto"/>
                      <w:szCs w:val="21"/>
                      <w:highlight w:val="none"/>
                    </w:rPr>
                    <w:t>1200万个</w:t>
                  </w:r>
                  <w:r>
                    <w:rPr>
                      <w:rFonts w:hint="default" w:ascii="Times New Roman" w:hAnsi="Times New Roman" w:eastAsia="宋体" w:cs="Times New Roman"/>
                      <w:b w:val="0"/>
                      <w:bCs w:val="0"/>
                      <w:snapToGrid w:val="0"/>
                      <w:color w:val="auto"/>
                      <w:kern w:val="0"/>
                      <w:szCs w:val="21"/>
                      <w:highlight w:val="none"/>
                    </w:rPr>
                    <w:t>/年</w:t>
                  </w:r>
                </w:p>
              </w:tc>
              <w:tc>
                <w:tcPr>
                  <w:tcW w:w="736"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8400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Cs w:val="21"/>
                      <w:highlight w:val="none"/>
                    </w:rPr>
                    <w:t>1</w:t>
                  </w:r>
                  <w:r>
                    <w:rPr>
                      <w:rFonts w:hint="eastAsia" w:cs="Times New Roman"/>
                      <w:snapToGrid w:val="0"/>
                      <w:color w:val="auto"/>
                      <w:kern w:val="0"/>
                      <w:szCs w:val="21"/>
                      <w:highlight w:val="none"/>
                      <w:lang w:val="en-US" w:eastAsia="zh-CN"/>
                    </w:rPr>
                    <w:t>4</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noWrap w:val="0"/>
                  <w:vAlign w:val="center"/>
                </w:tcPr>
                <w:p>
                  <w:pPr>
                    <w:adjustRightInd w:val="0"/>
                    <w:snapToGrid w:val="0"/>
                    <w:jc w:val="center"/>
                    <w:rPr>
                      <w:rFonts w:hint="default" w:eastAsia="宋体"/>
                      <w:b w:val="0"/>
                      <w:bCs w:val="0"/>
                      <w:color w:val="auto"/>
                      <w:lang w:val="en-US" w:eastAsia="zh-CN"/>
                    </w:rPr>
                  </w:pPr>
                  <w:r>
                    <w:rPr>
                      <w:rFonts w:hint="default"/>
                      <w:b w:val="0"/>
                      <w:bCs w:val="0"/>
                      <w:color w:val="auto"/>
                    </w:rPr>
                    <w:t>尿素喷嘴</w:t>
                  </w:r>
                </w:p>
              </w:tc>
              <w:tc>
                <w:tcPr>
                  <w:tcW w:w="89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100万件/年</w:t>
                  </w:r>
                </w:p>
              </w:tc>
              <w:tc>
                <w:tcPr>
                  <w:tcW w:w="1034"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100万件/年</w:t>
                  </w:r>
                </w:p>
              </w:tc>
              <w:tc>
                <w:tcPr>
                  <w:tcW w:w="736"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snapToGrid w:val="0"/>
                      <w:color w:val="auto"/>
                      <w:kern w:val="0"/>
                      <w:szCs w:val="21"/>
                      <w:highlight w:val="none"/>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8400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Cs w:val="21"/>
                      <w:highlight w:val="none"/>
                      <w:lang w:val="en-US" w:eastAsia="zh-CN"/>
                    </w:rPr>
                    <w:t>15</w:t>
                  </w:r>
                </w:p>
              </w:tc>
              <w:tc>
                <w:tcPr>
                  <w:tcW w:w="619" w:type="pct"/>
                  <w:vMerge w:val="restar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lang w:val="en-US" w:eastAsia="zh-CN"/>
                    </w:rPr>
                  </w:pPr>
                  <w:r>
                    <w:rPr>
                      <w:rFonts w:hint="default" w:ascii="Times New Roman" w:hAnsi="Times New Roman" w:eastAsia="宋体" w:cs="Times New Roman"/>
                      <w:snapToGrid w:val="0"/>
                      <w:color w:val="auto"/>
                      <w:kern w:val="0"/>
                      <w:szCs w:val="21"/>
                      <w:highlight w:val="none"/>
                      <w:lang w:val="en-US" w:eastAsia="zh-CN"/>
                    </w:rPr>
                    <w:t>新华路工厂</w:t>
                  </w:r>
                </w:p>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snapToGrid w:val="0"/>
                      <w:color w:val="auto"/>
                      <w:kern w:val="0"/>
                      <w:szCs w:val="21"/>
                      <w:highlight w:val="none"/>
                      <w:lang w:val="en-US" w:eastAsia="zh-CN"/>
                    </w:rPr>
                    <w:t>308车间</w:t>
                  </w:r>
                  <w:r>
                    <w:rPr>
                      <w:rFonts w:hint="default" w:ascii="Times New Roman" w:hAnsi="Times New Roman" w:eastAsia="宋体" w:cs="Times New Roman"/>
                      <w:snapToGrid w:val="0"/>
                      <w:color w:val="auto"/>
                      <w:kern w:val="0"/>
                      <w:szCs w:val="21"/>
                      <w:highlight w:val="none"/>
                      <w:lang w:val="en-US" w:eastAsia="zh-CN"/>
                    </w:rPr>
                    <w:tab/>
                  </w:r>
                </w:p>
              </w:tc>
              <w:tc>
                <w:tcPr>
                  <w:tcW w:w="106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再制造燃气/双燃料系统</w:t>
                  </w:r>
                </w:p>
              </w:tc>
              <w:tc>
                <w:tcPr>
                  <w:tcW w:w="89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1万套/年</w:t>
                  </w:r>
                </w:p>
              </w:tc>
              <w:tc>
                <w:tcPr>
                  <w:tcW w:w="1034"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1万套/年</w:t>
                  </w:r>
                </w:p>
              </w:tc>
              <w:tc>
                <w:tcPr>
                  <w:tcW w:w="73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kern w:val="0"/>
                      <w:szCs w:val="21"/>
                      <w:highlight w:val="none"/>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6720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Cs w:val="21"/>
                      <w:highlight w:val="none"/>
                      <w:lang w:val="en-US" w:eastAsia="zh-CN"/>
                    </w:rPr>
                    <w:t>16</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燃气/双燃料系统及其组件</w:t>
                  </w:r>
                </w:p>
              </w:tc>
              <w:tc>
                <w:tcPr>
                  <w:tcW w:w="89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5万套/年</w:t>
                  </w:r>
                </w:p>
              </w:tc>
              <w:tc>
                <w:tcPr>
                  <w:tcW w:w="1034"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5万套/年</w:t>
                  </w:r>
                </w:p>
              </w:tc>
              <w:tc>
                <w:tcPr>
                  <w:tcW w:w="73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kern w:val="0"/>
                      <w:szCs w:val="21"/>
                      <w:highlight w:val="none"/>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6720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Cs w:val="21"/>
                      <w:highlight w:val="none"/>
                      <w:lang w:val="en-US" w:eastAsia="zh-CN"/>
                    </w:rPr>
                    <w:t>17</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高压油泵</w:t>
                  </w:r>
                </w:p>
              </w:tc>
              <w:tc>
                <w:tcPr>
                  <w:tcW w:w="89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60万个/年</w:t>
                  </w:r>
                </w:p>
              </w:tc>
              <w:tc>
                <w:tcPr>
                  <w:tcW w:w="1034"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60万个/年</w:t>
                  </w:r>
                </w:p>
              </w:tc>
              <w:tc>
                <w:tcPr>
                  <w:tcW w:w="73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kern w:val="0"/>
                      <w:szCs w:val="21"/>
                      <w:highlight w:val="none"/>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8400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Cs w:val="21"/>
                      <w:highlight w:val="none"/>
                      <w:lang w:val="en-US" w:eastAsia="zh-CN"/>
                    </w:rPr>
                    <w:t>18</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ZP5齿轮泵</w:t>
                  </w:r>
                </w:p>
              </w:tc>
              <w:tc>
                <w:tcPr>
                  <w:tcW w:w="89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52万个/年</w:t>
                  </w:r>
                </w:p>
              </w:tc>
              <w:tc>
                <w:tcPr>
                  <w:tcW w:w="1034"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52万个/年</w:t>
                  </w:r>
                </w:p>
              </w:tc>
              <w:tc>
                <w:tcPr>
                  <w:tcW w:w="736"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6720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Cs w:val="21"/>
                      <w:highlight w:val="none"/>
                      <w:lang w:val="en-US" w:eastAsia="zh-CN"/>
                    </w:rPr>
                    <w:t>19</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CB4泵高压部件</w:t>
                  </w:r>
                </w:p>
              </w:tc>
              <w:tc>
                <w:tcPr>
                  <w:tcW w:w="89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67万个</w:t>
                  </w:r>
                  <w:r>
                    <w:rPr>
                      <w:rFonts w:hint="eastAsia" w:cs="Times New Roman"/>
                      <w:b w:val="0"/>
                      <w:bCs w:val="0"/>
                      <w:color w:val="auto"/>
                      <w:szCs w:val="21"/>
                      <w:highlight w:val="none"/>
                      <w:lang w:val="en-US" w:eastAsia="zh-CN"/>
                    </w:rPr>
                    <w:t>/年</w:t>
                  </w:r>
                </w:p>
              </w:tc>
              <w:tc>
                <w:tcPr>
                  <w:tcW w:w="1034"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142</w:t>
                  </w:r>
                  <w:r>
                    <w:rPr>
                      <w:rFonts w:hint="default" w:ascii="Times New Roman" w:hAnsi="Times New Roman" w:eastAsia="宋体" w:cs="Times New Roman"/>
                      <w:b w:val="0"/>
                      <w:bCs w:val="0"/>
                      <w:color w:val="auto"/>
                      <w:szCs w:val="21"/>
                      <w:highlight w:val="none"/>
                    </w:rPr>
                    <w:t>万个</w:t>
                  </w:r>
                  <w:r>
                    <w:rPr>
                      <w:rFonts w:hint="eastAsia" w:cs="Times New Roman"/>
                      <w:b w:val="0"/>
                      <w:bCs w:val="0"/>
                      <w:color w:val="auto"/>
                      <w:szCs w:val="21"/>
                      <w:highlight w:val="none"/>
                      <w:lang w:val="en-US" w:eastAsia="zh-CN"/>
                    </w:rPr>
                    <w:t>/年</w:t>
                  </w:r>
                </w:p>
              </w:tc>
              <w:tc>
                <w:tcPr>
                  <w:tcW w:w="736"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snapToGrid w:val="0"/>
                      <w:color w:val="auto"/>
                      <w:kern w:val="0"/>
                      <w:szCs w:val="21"/>
                      <w:highlight w:val="none"/>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8640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Cs w:val="21"/>
                      <w:highlight w:val="none"/>
                      <w:lang w:val="en-US" w:eastAsia="zh-CN"/>
                    </w:rPr>
                    <w:t>20</w:t>
                  </w:r>
                </w:p>
              </w:tc>
              <w:tc>
                <w:tcPr>
                  <w:tcW w:w="619"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p>
              </w:tc>
              <w:tc>
                <w:tcPr>
                  <w:tcW w:w="106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燃料电池</w:t>
                  </w:r>
                </w:p>
              </w:tc>
              <w:tc>
                <w:tcPr>
                  <w:tcW w:w="890"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20000个/年</w:t>
                  </w:r>
                </w:p>
              </w:tc>
              <w:tc>
                <w:tcPr>
                  <w:tcW w:w="1034"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20000个/年</w:t>
                  </w:r>
                </w:p>
              </w:tc>
              <w:tc>
                <w:tcPr>
                  <w:tcW w:w="73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kern w:val="0"/>
                      <w:szCs w:val="21"/>
                      <w:highlight w:val="none"/>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8400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Cs w:val="21"/>
                      <w:highlight w:val="none"/>
                      <w:lang w:val="en-US" w:eastAsia="zh-CN"/>
                    </w:rPr>
                    <w:t>21</w:t>
                  </w:r>
                </w:p>
              </w:tc>
              <w:tc>
                <w:tcPr>
                  <w:tcW w:w="619" w:type="pct"/>
                  <w:vMerge w:val="continue"/>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p>
              </w:tc>
              <w:tc>
                <w:tcPr>
                  <w:tcW w:w="106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电堆</w:t>
                  </w:r>
                </w:p>
              </w:tc>
              <w:tc>
                <w:tcPr>
                  <w:tcW w:w="89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2764台/年</w:t>
                  </w:r>
                </w:p>
              </w:tc>
              <w:tc>
                <w:tcPr>
                  <w:tcW w:w="103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2764台/年</w:t>
                  </w:r>
                </w:p>
              </w:tc>
              <w:tc>
                <w:tcPr>
                  <w:tcW w:w="736"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lang w:val="en-US" w:eastAsia="zh-CN"/>
                    </w:rPr>
                  </w:pPr>
                  <w:r>
                    <w:rPr>
                      <w:rFonts w:hint="default" w:ascii="Times New Roman" w:hAnsi="Times New Roman" w:eastAsia="宋体" w:cs="Times New Roman"/>
                      <w:snapToGrid w:val="0"/>
                      <w:color w:val="auto"/>
                      <w:kern w:val="0"/>
                      <w:szCs w:val="21"/>
                      <w:highlight w:val="none"/>
                      <w:lang w:val="en-US" w:eastAsia="zh-CN"/>
                    </w:rPr>
                    <w:t>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Cs w:val="21"/>
                      <w:highlight w:val="none"/>
                      <w:lang w:val="en-US" w:eastAsia="zh-CN"/>
                    </w:rPr>
                    <w:t>22</w:t>
                  </w:r>
                </w:p>
              </w:tc>
              <w:tc>
                <w:tcPr>
                  <w:tcW w:w="619" w:type="pct"/>
                  <w:noWrap w:val="0"/>
                  <w:vAlign w:val="center"/>
                </w:tcPr>
                <w:p>
                  <w:pPr>
                    <w:adjustRightInd w:val="0"/>
                    <w:snapToGrid w:val="0"/>
                    <w:ind w:left="-105" w:leftChars="-50" w:right="-105" w:rightChars="-5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新华路工厂</w:t>
                  </w:r>
                </w:p>
                <w:p>
                  <w:pPr>
                    <w:adjustRightInd w:val="0"/>
                    <w:snapToGrid w:val="0"/>
                    <w:ind w:left="-105" w:leftChars="-50" w:right="-105" w:rightChars="-5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清洗车间</w:t>
                  </w:r>
                </w:p>
              </w:tc>
              <w:tc>
                <w:tcPr>
                  <w:tcW w:w="1060"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清洗塑料周转箱</w:t>
                  </w:r>
                </w:p>
              </w:tc>
              <w:tc>
                <w:tcPr>
                  <w:tcW w:w="890"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180万个/年</w:t>
                  </w:r>
                </w:p>
              </w:tc>
              <w:tc>
                <w:tcPr>
                  <w:tcW w:w="1034"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180万个/年</w:t>
                  </w:r>
                </w:p>
              </w:tc>
              <w:tc>
                <w:tcPr>
                  <w:tcW w:w="73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8400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236"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23</w:t>
                  </w:r>
                </w:p>
              </w:tc>
              <w:tc>
                <w:tcPr>
                  <w:tcW w:w="619" w:type="pct"/>
                  <w:noWrap w:val="0"/>
                  <w:vAlign w:val="center"/>
                </w:tcPr>
                <w:p>
                  <w:pPr>
                    <w:adjustRightInd w:val="0"/>
                    <w:snapToGrid w:val="0"/>
                    <w:ind w:left="-105" w:leftChars="-50" w:right="-105" w:rightChars="-5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里河路工厂</w:t>
                  </w:r>
                </w:p>
              </w:tc>
              <w:tc>
                <w:tcPr>
                  <w:tcW w:w="1060"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高压泵体</w:t>
                  </w:r>
                </w:p>
              </w:tc>
              <w:tc>
                <w:tcPr>
                  <w:tcW w:w="890"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1250万个/年</w:t>
                  </w:r>
                </w:p>
              </w:tc>
              <w:tc>
                <w:tcPr>
                  <w:tcW w:w="1034"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lang w:val="en-US" w:eastAsia="zh-CN"/>
                    </w:rPr>
                  </w:pPr>
                  <w:r>
                    <w:rPr>
                      <w:rFonts w:hint="default" w:ascii="Times New Roman" w:hAnsi="Times New Roman" w:eastAsia="宋体" w:cs="Times New Roman"/>
                      <w:snapToGrid w:val="0"/>
                      <w:color w:val="auto"/>
                      <w:kern w:val="0"/>
                      <w:szCs w:val="21"/>
                      <w:highlight w:val="none"/>
                    </w:rPr>
                    <w:t>1250万个/年</w:t>
                  </w:r>
                </w:p>
              </w:tc>
              <w:tc>
                <w:tcPr>
                  <w:tcW w:w="736" w:type="pct"/>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0</w:t>
                  </w:r>
                </w:p>
              </w:tc>
              <w:tc>
                <w:tcPr>
                  <w:tcW w:w="421"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6720</w:t>
                  </w:r>
                </w:p>
              </w:tc>
            </w:tr>
          </w:tbl>
          <w:p>
            <w:pPr>
              <w:adjustRightInd w:val="0"/>
              <w:snapToGrid w:val="0"/>
              <w:spacing w:line="240" w:lineRule="auto"/>
              <w:ind w:firstLine="0"/>
              <w:jc w:val="left"/>
              <w:rPr>
                <w:rFonts w:hint="eastAsia" w:ascii="Times New Roman" w:hAnsi="Times New Roman" w:eastAsia="宋体" w:cs="Times New Roman"/>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r>
              <w:rPr>
                <w:rFonts w:hint="eastAsia" w:cs="Times New Roman"/>
                <w:b/>
                <w:bCs/>
                <w:color w:val="auto"/>
                <w:sz w:val="21"/>
                <w:szCs w:val="21"/>
                <w:highlight w:val="none"/>
                <w:lang w:val="en-US" w:eastAsia="zh-CN"/>
              </w:rPr>
              <w:t>注：</w:t>
            </w:r>
            <w:r>
              <w:rPr>
                <w:rFonts w:hint="default" w:ascii="Times New Roman" w:hAnsi="Times New Roman" w:eastAsia="宋体" w:cs="Times New Roman"/>
                <w:snapToGrid w:val="0"/>
                <w:color w:val="auto"/>
                <w:kern w:val="0"/>
                <w:szCs w:val="21"/>
                <w:highlight w:val="none"/>
              </w:rPr>
              <w:t>喷油器</w:t>
            </w:r>
            <w:r>
              <w:rPr>
                <w:rFonts w:hint="eastAsia"/>
                <w:color w:val="auto"/>
                <w:szCs w:val="21"/>
                <w:lang w:val="en-US" w:eastAsia="zh-CN"/>
              </w:rPr>
              <w:t>产品1000万支/年包含了半成品（</w:t>
            </w:r>
            <w:r>
              <w:rPr>
                <w:rFonts w:hint="default" w:ascii="Times New Roman" w:hAnsi="Times New Roman" w:eastAsia="宋体" w:cs="Times New Roman"/>
                <w:bCs/>
                <w:color w:val="auto"/>
                <w:sz w:val="21"/>
                <w:szCs w:val="21"/>
                <w:highlight w:val="none"/>
              </w:rPr>
              <w:t>喷油器阀座镀铬</w:t>
            </w:r>
            <w:r>
              <w:rPr>
                <w:rFonts w:hint="eastAsia" w:cs="Times New Roman"/>
                <w:bCs/>
                <w:color w:val="auto"/>
                <w:sz w:val="21"/>
                <w:szCs w:val="21"/>
                <w:highlight w:val="none"/>
                <w:lang w:val="en-US" w:eastAsia="zh-CN"/>
              </w:rPr>
              <w:t>加工</w:t>
            </w:r>
            <w:r>
              <w:rPr>
                <w:rFonts w:hint="default" w:ascii="Times New Roman" w:hAnsi="Times New Roman" w:eastAsia="宋体" w:cs="Times New Roman"/>
                <w:color w:val="auto"/>
                <w:szCs w:val="21"/>
                <w:highlight w:val="none"/>
              </w:rPr>
              <w:t>467.2万个/年</w:t>
            </w:r>
            <w:r>
              <w:rPr>
                <w:rFonts w:hint="default" w:ascii="Times New Roman" w:hAnsi="Times New Roman" w:eastAsia="宋体" w:cs="Times New Roman"/>
                <w:bCs/>
                <w:color w:val="auto"/>
                <w:sz w:val="21"/>
                <w:szCs w:val="21"/>
                <w:highlight w:val="none"/>
              </w:rPr>
              <w:t>、喷油器阀座氮化铬涂层</w:t>
            </w:r>
            <w:r>
              <w:rPr>
                <w:rFonts w:hint="default" w:ascii="Times New Roman" w:hAnsi="Times New Roman" w:eastAsia="宋体" w:cs="Times New Roman"/>
                <w:b w:val="0"/>
                <w:bCs w:val="0"/>
                <w:snapToGrid w:val="0"/>
                <w:color w:val="auto"/>
                <w:kern w:val="0"/>
                <w:szCs w:val="21"/>
                <w:highlight w:val="none"/>
              </w:rPr>
              <w:t>770万个/年</w:t>
            </w:r>
            <w:r>
              <w:rPr>
                <w:rFonts w:hint="eastAsia" w:cs="Times New Roman"/>
                <w:b w:val="0"/>
                <w:bCs w:val="0"/>
                <w:snapToGrid w:val="0"/>
                <w:color w:val="auto"/>
                <w:kern w:val="0"/>
                <w:szCs w:val="21"/>
                <w:highlight w:val="none"/>
                <w:lang w:eastAsia="zh-CN"/>
              </w:rPr>
              <w:t>）。</w:t>
            </w:r>
          </w:p>
          <w:p>
            <w:pPr>
              <w:adjustRightInd w:val="0"/>
              <w:snapToGrid w:val="0"/>
              <w:spacing w:line="500" w:lineRule="exact"/>
              <w:ind w:firstLine="435"/>
              <w:jc w:val="center"/>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表2-2   本项目新华路工厂工程内容及规模情况表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4"/>
              <w:gridCol w:w="638"/>
              <w:gridCol w:w="1011"/>
              <w:gridCol w:w="2131"/>
              <w:gridCol w:w="2142"/>
              <w:gridCol w:w="1130"/>
              <w:gridCol w:w="12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39" w:type="pct"/>
                  <w:gridSpan w:val="3"/>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建设名称</w:t>
                  </w:r>
                </w:p>
              </w:tc>
              <w:tc>
                <w:tcPr>
                  <w:tcW w:w="3068" w:type="pct"/>
                  <w:gridSpan w:val="3"/>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设计能力</w:t>
                  </w:r>
                </w:p>
              </w:tc>
              <w:tc>
                <w:tcPr>
                  <w:tcW w:w="692"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39" w:type="pct"/>
                  <w:gridSpan w:val="3"/>
                  <w:vMerge w:val="continue"/>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1210" w:type="pct"/>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技改</w:t>
                  </w:r>
                  <w:r>
                    <w:rPr>
                      <w:rFonts w:hint="default" w:ascii="Times New Roman" w:hAnsi="Times New Roman" w:eastAsia="宋体" w:cs="Times New Roman"/>
                      <w:b/>
                      <w:bCs/>
                      <w:color w:val="auto"/>
                      <w:sz w:val="21"/>
                      <w:szCs w:val="21"/>
                      <w:highlight w:val="none"/>
                    </w:rPr>
                    <w:t>前</w:t>
                  </w:r>
                </w:p>
              </w:tc>
              <w:tc>
                <w:tcPr>
                  <w:tcW w:w="1216" w:type="pct"/>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技改</w:t>
                  </w:r>
                  <w:r>
                    <w:rPr>
                      <w:rFonts w:hint="default" w:ascii="Times New Roman" w:hAnsi="Times New Roman" w:eastAsia="宋体" w:cs="Times New Roman"/>
                      <w:b/>
                      <w:bCs/>
                      <w:color w:val="auto"/>
                      <w:sz w:val="21"/>
                      <w:szCs w:val="21"/>
                      <w:highlight w:val="none"/>
                    </w:rPr>
                    <w:t>后</w:t>
                  </w:r>
                </w:p>
              </w:tc>
              <w:tc>
                <w:tcPr>
                  <w:tcW w:w="641" w:type="pct"/>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变化</w:t>
                  </w:r>
                </w:p>
              </w:tc>
              <w:tc>
                <w:tcPr>
                  <w:tcW w:w="692" w:type="pct"/>
                  <w:vMerge w:val="continue"/>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贮运</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936" w:type="pct"/>
                  <w:gridSpan w:val="2"/>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仓储</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3000m</w:t>
                  </w:r>
                  <w:r>
                    <w:rPr>
                      <w:rFonts w:hint="default" w:ascii="Times New Roman" w:hAnsi="Times New Roman" w:eastAsia="宋体" w:cs="Times New Roman"/>
                      <w:color w:val="auto"/>
                      <w:sz w:val="21"/>
                      <w:szCs w:val="21"/>
                      <w:highlight w:val="none"/>
                      <w:vertAlign w:val="superscript"/>
                    </w:rPr>
                    <w:t>2</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3000m</w:t>
                  </w:r>
                  <w:r>
                    <w:rPr>
                      <w:rFonts w:hint="default" w:ascii="Times New Roman" w:hAnsi="Times New Roman" w:eastAsia="宋体" w:cs="Times New Roman"/>
                      <w:color w:val="auto"/>
                      <w:sz w:val="21"/>
                      <w:szCs w:val="21"/>
                      <w:highlight w:val="none"/>
                      <w:vertAlign w:val="superscript"/>
                    </w:rPr>
                    <w:t>2</w:t>
                  </w:r>
                </w:p>
              </w:tc>
              <w:tc>
                <w:tcPr>
                  <w:tcW w:w="641"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20m</w:t>
                  </w:r>
                  <w:r>
                    <w:rPr>
                      <w:rFonts w:hint="default" w:ascii="Times New Roman" w:hAnsi="Times New Roman" w:eastAsia="宋体" w:cs="Times New Roman"/>
                      <w:color w:val="auto"/>
                      <w:sz w:val="21"/>
                      <w:szCs w:val="21"/>
                      <w:highlight w:val="none"/>
                      <w:vertAlign w:val="superscript"/>
                    </w:rPr>
                    <w:t>3</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20m</w:t>
                  </w:r>
                  <w:r>
                    <w:rPr>
                      <w:rFonts w:hint="default" w:ascii="Times New Roman" w:hAnsi="Times New Roman" w:eastAsia="宋体" w:cs="Times New Roman"/>
                      <w:color w:val="auto"/>
                      <w:sz w:val="21"/>
                      <w:szCs w:val="21"/>
                      <w:highlight w:val="none"/>
                      <w:vertAlign w:val="superscript"/>
                    </w:rPr>
                    <w:t>3</w:t>
                  </w:r>
                </w:p>
              </w:tc>
              <w:tc>
                <w:tcPr>
                  <w:tcW w:w="641"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汽车</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汽车</w:t>
                  </w:r>
                </w:p>
              </w:tc>
              <w:tc>
                <w:tcPr>
                  <w:tcW w:w="641"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303"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公辅</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362"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给水</w:t>
                  </w:r>
                </w:p>
              </w:tc>
              <w:tc>
                <w:tcPr>
                  <w:tcW w:w="574"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自来水</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536334.4 t</w:t>
                  </w:r>
                  <w:r>
                    <w:rPr>
                      <w:rFonts w:hint="default" w:ascii="Times New Roman" w:hAnsi="Times New Roman" w:eastAsia="宋体" w:cs="Times New Roman"/>
                      <w:color w:val="auto"/>
                      <w:sz w:val="21"/>
                      <w:szCs w:val="21"/>
                      <w:highlight w:val="none"/>
                    </w:rPr>
                    <w:t>/a</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515674.4 t/a</w:t>
                  </w:r>
                </w:p>
              </w:tc>
              <w:tc>
                <w:tcPr>
                  <w:tcW w:w="64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-20660 </w:t>
                  </w:r>
                  <w:r>
                    <w:rPr>
                      <w:rFonts w:hint="default" w:ascii="Times New Roman" w:hAnsi="Times New Roman" w:eastAsia="宋体" w:cs="Times New Roman"/>
                      <w:color w:val="auto"/>
                      <w:sz w:val="21"/>
                      <w:szCs w:val="21"/>
                      <w:highlight w:val="none"/>
                      <w:lang w:val="en-US" w:eastAsia="zh-CN"/>
                    </w:rPr>
                    <w:t>t/a</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市政供水管网提供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362"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574"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纯水</w:t>
                  </w:r>
                </w:p>
              </w:tc>
              <w:tc>
                <w:tcPr>
                  <w:tcW w:w="1210" w:type="pct"/>
                  <w:noWrap w:val="0"/>
                  <w:vAlign w:val="center"/>
                </w:tcPr>
                <w:p>
                  <w:pPr>
                    <w:adjustRightInd w:val="0"/>
                    <w:snapToGrid w:val="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设计规模：6m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/h，51840t/a</w:t>
                  </w:r>
                </w:p>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 xml:space="preserve">处理水量：18277.5 </w:t>
                  </w:r>
                  <w:r>
                    <w:rPr>
                      <w:rFonts w:hint="default" w:ascii="Times New Roman" w:hAnsi="Times New Roman" w:eastAsia="宋体" w:cs="Times New Roman"/>
                      <w:color w:val="auto"/>
                      <w:sz w:val="21"/>
                      <w:szCs w:val="21"/>
                      <w:highlight w:val="none"/>
                    </w:rPr>
                    <w:t>t/a</w:t>
                  </w:r>
                </w:p>
              </w:tc>
              <w:tc>
                <w:tcPr>
                  <w:tcW w:w="1216" w:type="pct"/>
                  <w:noWrap w:val="0"/>
                  <w:vAlign w:val="center"/>
                </w:tcPr>
                <w:p>
                  <w:pPr>
                    <w:adjustRightInd w:val="0"/>
                    <w:snapToGrid w:val="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设计规模：6m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/h，51840t/a</w:t>
                  </w:r>
                </w:p>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处理水量：18332.5 </w:t>
                  </w:r>
                  <w:r>
                    <w:rPr>
                      <w:rFonts w:hint="default" w:ascii="Times New Roman" w:hAnsi="Times New Roman" w:eastAsia="宋体" w:cs="Times New Roman"/>
                      <w:color w:val="auto"/>
                      <w:sz w:val="21"/>
                      <w:szCs w:val="21"/>
                      <w:highlight w:val="none"/>
                    </w:rPr>
                    <w:t>t/a</w:t>
                  </w:r>
                </w:p>
              </w:tc>
              <w:tc>
                <w:tcPr>
                  <w:tcW w:w="64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 xml:space="preserve">55 </w:t>
                  </w:r>
                  <w:r>
                    <w:rPr>
                      <w:rFonts w:hint="default" w:ascii="Times New Roman" w:hAnsi="Times New Roman" w:eastAsia="宋体" w:cs="Times New Roman"/>
                      <w:color w:val="auto"/>
                      <w:sz w:val="21"/>
                      <w:szCs w:val="21"/>
                      <w:highlight w:val="none"/>
                      <w:lang w:val="en-US" w:eastAsia="zh-CN"/>
                    </w:rPr>
                    <w:t>t/a</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color w:val="auto"/>
                      <w:lang w:val="en-US" w:eastAsia="zh-CN"/>
                    </w:rPr>
                    <w:t>依托现有设施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362"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系统</w:t>
                  </w:r>
                </w:p>
              </w:tc>
              <w:tc>
                <w:tcPr>
                  <w:tcW w:w="574"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 xml:space="preserve">219686 </w:t>
                  </w:r>
                  <w:r>
                    <w:rPr>
                      <w:rFonts w:hint="default" w:ascii="Times New Roman" w:hAnsi="Times New Roman" w:eastAsia="宋体" w:cs="Times New Roman"/>
                      <w:color w:val="auto"/>
                      <w:sz w:val="21"/>
                      <w:szCs w:val="21"/>
                      <w:highlight w:val="none"/>
                    </w:rPr>
                    <w:t>t/a</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199806 </w:t>
                  </w:r>
                  <w:r>
                    <w:rPr>
                      <w:rFonts w:hint="default" w:ascii="Times New Roman" w:hAnsi="Times New Roman" w:eastAsia="宋体" w:cs="Times New Roman"/>
                      <w:color w:val="auto"/>
                      <w:sz w:val="21"/>
                      <w:szCs w:val="21"/>
                      <w:highlight w:val="none"/>
                    </w:rPr>
                    <w:t>t/a</w:t>
                  </w:r>
                </w:p>
              </w:tc>
              <w:tc>
                <w:tcPr>
                  <w:tcW w:w="64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-19880 </w:t>
                  </w:r>
                  <w:r>
                    <w:rPr>
                      <w:rFonts w:hint="default" w:ascii="Times New Roman" w:hAnsi="Times New Roman" w:eastAsia="宋体" w:cs="Times New Roman"/>
                      <w:color w:val="auto"/>
                      <w:sz w:val="21"/>
                      <w:szCs w:val="21"/>
                      <w:highlight w:val="none"/>
                      <w:lang w:val="en-US" w:eastAsia="zh-CN"/>
                    </w:rPr>
                    <w:t>t/a</w:t>
                  </w:r>
                </w:p>
              </w:tc>
              <w:tc>
                <w:tcPr>
                  <w:tcW w:w="692"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排入市政污水管网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362"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574"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生产废水</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 xml:space="preserve">28742.9 </w:t>
                  </w:r>
                  <w:r>
                    <w:rPr>
                      <w:rFonts w:hint="default" w:ascii="Times New Roman" w:hAnsi="Times New Roman" w:eastAsia="宋体" w:cs="Times New Roman"/>
                      <w:color w:val="auto"/>
                      <w:sz w:val="21"/>
                      <w:szCs w:val="21"/>
                      <w:highlight w:val="none"/>
                    </w:rPr>
                    <w:t>t/a</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26827.5 </w:t>
                  </w:r>
                  <w:r>
                    <w:rPr>
                      <w:rFonts w:hint="default" w:ascii="Times New Roman" w:hAnsi="Times New Roman" w:eastAsia="宋体" w:cs="Times New Roman"/>
                      <w:color w:val="auto"/>
                      <w:sz w:val="21"/>
                      <w:szCs w:val="21"/>
                      <w:highlight w:val="none"/>
                    </w:rPr>
                    <w:t>t/a</w:t>
                  </w:r>
                </w:p>
              </w:tc>
              <w:tc>
                <w:tcPr>
                  <w:tcW w:w="64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-1915.4 </w:t>
                  </w:r>
                  <w:r>
                    <w:rPr>
                      <w:rFonts w:hint="default" w:ascii="Times New Roman" w:hAnsi="Times New Roman" w:eastAsia="宋体" w:cs="Times New Roman"/>
                      <w:color w:val="auto"/>
                      <w:sz w:val="21"/>
                      <w:szCs w:val="21"/>
                      <w:highlight w:val="none"/>
                      <w:lang w:val="en-US" w:eastAsia="zh-CN"/>
                    </w:rPr>
                    <w:t>t/a</w:t>
                  </w:r>
                </w:p>
              </w:tc>
              <w:tc>
                <w:tcPr>
                  <w:tcW w:w="692"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362"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回用水系统</w:t>
                  </w:r>
                </w:p>
              </w:tc>
              <w:tc>
                <w:tcPr>
                  <w:tcW w:w="574"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生产废水处理回用系统</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设计规模36000t/a</w:t>
                  </w:r>
                </w:p>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产生</w:t>
                  </w:r>
                  <w:r>
                    <w:rPr>
                      <w:rFonts w:hint="default" w:ascii="Times New Roman" w:hAnsi="Times New Roman" w:eastAsia="宋体" w:cs="Times New Roman"/>
                      <w:color w:val="auto"/>
                      <w:sz w:val="21"/>
                      <w:szCs w:val="21"/>
                      <w:highlight w:val="none"/>
                    </w:rPr>
                    <w:t>水量</w:t>
                  </w:r>
                  <w:r>
                    <w:rPr>
                      <w:rFonts w:hint="default" w:ascii="Times New Roman" w:hAnsi="Times New Roman" w:eastAsia="宋体" w:cs="Times New Roman"/>
                      <w:color w:val="auto"/>
                      <w:sz w:val="21"/>
                      <w:szCs w:val="21"/>
                      <w:highlight w:val="none"/>
                      <w:lang w:val="en-US" w:eastAsia="zh-CN"/>
                    </w:rPr>
                    <w:t>20164.6</w:t>
                  </w:r>
                  <w:r>
                    <w:rPr>
                      <w:rFonts w:hint="default" w:ascii="Times New Roman" w:hAnsi="Times New Roman" w:eastAsia="宋体" w:cs="Times New Roman"/>
                      <w:color w:val="auto"/>
                      <w:sz w:val="21"/>
                      <w:szCs w:val="21"/>
                      <w:highlight w:val="none"/>
                    </w:rPr>
                    <w:t>t/a</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设计规模36000t/a</w:t>
                  </w:r>
                </w:p>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产生</w:t>
                  </w:r>
                  <w:r>
                    <w:rPr>
                      <w:rFonts w:hint="default" w:ascii="Times New Roman" w:hAnsi="Times New Roman" w:eastAsia="宋体" w:cs="Times New Roman"/>
                      <w:color w:val="auto"/>
                      <w:sz w:val="21"/>
                      <w:szCs w:val="21"/>
                      <w:highlight w:val="none"/>
                    </w:rPr>
                    <w:t>水量</w:t>
                  </w:r>
                  <w:r>
                    <w:rPr>
                      <w:rFonts w:hint="eastAsia" w:cs="Times New Roman"/>
                      <w:color w:val="auto"/>
                      <w:sz w:val="21"/>
                      <w:szCs w:val="21"/>
                      <w:highlight w:val="none"/>
                      <w:lang w:val="en-US" w:eastAsia="zh-CN"/>
                    </w:rPr>
                    <w:t>27715</w:t>
                  </w:r>
                  <w:r>
                    <w:rPr>
                      <w:rFonts w:hint="default" w:ascii="Times New Roman" w:hAnsi="Times New Roman" w:eastAsia="宋体" w:cs="Times New Roman"/>
                      <w:color w:val="auto"/>
                      <w:sz w:val="21"/>
                      <w:szCs w:val="21"/>
                      <w:highlight w:val="none"/>
                    </w:rPr>
                    <w:t>t/a</w:t>
                  </w:r>
                </w:p>
              </w:tc>
              <w:tc>
                <w:tcPr>
                  <w:tcW w:w="64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产生</w:t>
                  </w:r>
                  <w:r>
                    <w:rPr>
                      <w:rFonts w:hint="default" w:ascii="Times New Roman" w:hAnsi="Times New Roman" w:eastAsia="宋体" w:cs="Times New Roman"/>
                      <w:color w:val="auto"/>
                      <w:sz w:val="21"/>
                      <w:szCs w:val="21"/>
                      <w:highlight w:val="none"/>
                      <w:lang w:val="en-US" w:eastAsia="zh-CN"/>
                    </w:rPr>
                    <w:t>水量新增</w:t>
                  </w:r>
                  <w:r>
                    <w:rPr>
                      <w:rFonts w:hint="eastAsia" w:cs="Times New Roman"/>
                      <w:color w:val="auto"/>
                      <w:sz w:val="21"/>
                      <w:szCs w:val="21"/>
                      <w:highlight w:val="none"/>
                      <w:lang w:val="en-US" w:eastAsia="zh-CN"/>
                    </w:rPr>
                    <w:t>7550.4</w:t>
                  </w:r>
                  <w:r>
                    <w:rPr>
                      <w:rFonts w:hint="default" w:ascii="Times New Roman" w:hAnsi="Times New Roman" w:eastAsia="宋体" w:cs="Times New Roman"/>
                      <w:color w:val="auto"/>
                      <w:sz w:val="21"/>
                      <w:szCs w:val="21"/>
                      <w:highlight w:val="none"/>
                      <w:lang w:val="en-US" w:eastAsia="zh-CN"/>
                    </w:rPr>
                    <w:t>t/a</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362"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574"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中水回用系统</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收集水量30000t/a</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回用水量18000t/a</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收集水量30000t/a</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回用水量18000t/a</w:t>
                  </w:r>
                </w:p>
              </w:tc>
              <w:tc>
                <w:tcPr>
                  <w:tcW w:w="641"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olor w:val="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供气</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87494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87494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641"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供热</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641"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16060</w:t>
                  </w:r>
                  <w:r>
                    <w:rPr>
                      <w:rFonts w:hint="default" w:ascii="Times New Roman" w:hAnsi="Times New Roman" w:eastAsia="宋体" w:cs="Times New Roman"/>
                      <w:color w:val="auto"/>
                      <w:sz w:val="21"/>
                      <w:szCs w:val="21"/>
                      <w:highlight w:val="none"/>
                    </w:rPr>
                    <w:t>万kw·h/a</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w:t>
                  </w:r>
                  <w:r>
                    <w:rPr>
                      <w:rFonts w:hint="eastAsia" w:cs="Times New Roman"/>
                      <w:color w:val="auto"/>
                      <w:sz w:val="21"/>
                      <w:szCs w:val="21"/>
                      <w:highlight w:val="none"/>
                      <w:lang w:val="en-US" w:eastAsia="zh-CN"/>
                    </w:rPr>
                    <w:t>260</w:t>
                  </w:r>
                  <w:r>
                    <w:rPr>
                      <w:rFonts w:hint="default" w:ascii="Times New Roman" w:hAnsi="Times New Roman" w:eastAsia="宋体" w:cs="Times New Roman"/>
                      <w:color w:val="auto"/>
                      <w:sz w:val="21"/>
                      <w:szCs w:val="21"/>
                      <w:highlight w:val="none"/>
                    </w:rPr>
                    <w:t>万kw·h/a</w:t>
                  </w:r>
                </w:p>
              </w:tc>
              <w:tc>
                <w:tcPr>
                  <w:tcW w:w="641"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万kw·h/a</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绿化</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130000m</w:t>
                  </w:r>
                  <w:r>
                    <w:rPr>
                      <w:rFonts w:hint="default" w:ascii="Times New Roman" w:hAnsi="Times New Roman" w:eastAsia="宋体" w:cs="Times New Roman"/>
                      <w:color w:val="auto"/>
                      <w:sz w:val="21"/>
                      <w:szCs w:val="21"/>
                      <w:highlight w:val="none"/>
                      <w:vertAlign w:val="superscript"/>
                    </w:rPr>
                    <w:t>2</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130000 m</w:t>
                  </w:r>
                  <w:r>
                    <w:rPr>
                      <w:rFonts w:hint="default" w:ascii="Times New Roman" w:hAnsi="Times New Roman" w:eastAsia="宋体" w:cs="Times New Roman"/>
                      <w:color w:val="auto"/>
                      <w:sz w:val="21"/>
                      <w:szCs w:val="21"/>
                      <w:highlight w:val="none"/>
                      <w:vertAlign w:val="superscript"/>
                    </w:rPr>
                    <w:t>2</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936" w:type="pct"/>
                  <w:gridSpan w:val="2"/>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废气处理</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过滤+水帘冲洗</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/h×4</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过滤+水帘冲洗</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/h×4</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FQ-03、FQ-04、FQ-12、FQ-13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布袋除尘</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/h×2</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布袋除尘</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/h×2</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本次依托</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FQ-05、FQ-43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过滤除尘</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/h×2</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过滤除尘</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/h×2</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FQ-11、FQ-32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油雾过滤器</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1080m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 ×1</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油雾过滤器</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1080m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 ×1</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FQ-31</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FQ-33</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FQ-34</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FQ-35</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冷凝回收+油雾过滤器</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37500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/h×2</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冷凝回收+油雾过滤器</w:t>
                  </w:r>
                </w:p>
                <w:p>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37500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eastAsia" w:cs="Times New Roman"/>
                      <w:color w:val="auto"/>
                      <w:sz w:val="21"/>
                      <w:szCs w:val="21"/>
                      <w:highlight w:val="none"/>
                      <w:lang w:val="en-US" w:eastAsia="zh-CN"/>
                    </w:rPr>
                    <w:t>3</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“以新代老”新增一套设施</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FQ-02、FQ-10</w:t>
                  </w:r>
                </w:p>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FQ-01</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FQ-44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冷凝回收+油雾过滤器</w:t>
                  </w:r>
                </w:p>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28</w:t>
                  </w:r>
                  <w:r>
                    <w:rPr>
                      <w:rFonts w:hint="default" w:ascii="Times New Roman" w:hAnsi="Times New Roman" w:eastAsia="宋体" w:cs="Times New Roman"/>
                      <w:color w:val="auto"/>
                      <w:sz w:val="21"/>
                      <w:szCs w:val="21"/>
                      <w:highlight w:val="none"/>
                    </w:rPr>
                    <w:t>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冷凝回收+油雾过滤器</w:t>
                  </w:r>
                </w:p>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28</w:t>
                  </w:r>
                  <w:r>
                    <w:rPr>
                      <w:rFonts w:hint="default" w:ascii="Times New Roman" w:hAnsi="Times New Roman" w:eastAsia="宋体" w:cs="Times New Roman"/>
                      <w:color w:val="auto"/>
                      <w:sz w:val="21"/>
                      <w:szCs w:val="21"/>
                      <w:highlight w:val="none"/>
                    </w:rPr>
                    <w:t>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依托现有部分</w:t>
                  </w:r>
                </w:p>
              </w:tc>
              <w:tc>
                <w:tcPr>
                  <w:tcW w:w="692" w:type="pct"/>
                  <w:noWrap w:val="0"/>
                  <w:vAlign w:val="center"/>
                </w:tcPr>
                <w:p>
                  <w:pPr>
                    <w:pStyle w:val="2"/>
                    <w:jc w:val="center"/>
                    <w:rPr>
                      <w:rFonts w:hint="default" w:ascii="Times New Roman" w:hAnsi="Times New Roman" w:eastAsia="宋体" w:cs="Times New Roman"/>
                      <w:color w:val="auto"/>
                      <w:highlight w:val="none"/>
                      <w:lang w:val="en-US" w:eastAsia="zh-CN"/>
                    </w:rPr>
                  </w:pPr>
                  <w:r>
                    <w:rPr>
                      <w:rFonts w:hint="eastAsia" w:cs="Times New Roman"/>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除尘+活性炭吸附</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1216"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除尘+活性炭吸附</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实验室尾气排气筒</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/h×3</w:t>
                  </w:r>
                </w:p>
              </w:tc>
              <w:tc>
                <w:tcPr>
                  <w:tcW w:w="1216"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实验室尾气排气筒</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/h×3</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FQ-07、FQ-08、FQ-09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油烟分离装置</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1216"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油烟分离装置</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FQ-06（食堂）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活性炭吸附装置</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活性炭吸附装置</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冷凝装置</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1216"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冷凝装置</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水喷淋+光氧催化</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1216"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水喷淋+光氧催化</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/h×1</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离心分离油雾净化器</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套</w:t>
                  </w:r>
                </w:p>
              </w:tc>
              <w:tc>
                <w:tcPr>
                  <w:tcW w:w="1216"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离心分离油雾净化器</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套</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布袋/过滤除尘</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4套</w:t>
                  </w:r>
                </w:p>
              </w:tc>
              <w:tc>
                <w:tcPr>
                  <w:tcW w:w="1216" w:type="pct"/>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布袋/过滤除尘</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4套</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692" w:type="pct"/>
                  <w:noWrap w:val="0"/>
                  <w:vAlign w:val="center"/>
                </w:tcPr>
                <w:p>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2426" w:type="pct"/>
                  <w:gridSpan w:val="2"/>
                  <w:noWrap w:val="0"/>
                  <w:vAlign w:val="center"/>
                </w:tcPr>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过滤除尘，若干</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（焊接台、激光刻字台等所有设施或设备均单</w:t>
                  </w:r>
                </w:p>
                <w:p>
                  <w:pPr>
                    <w:adjustRightInd w:val="0"/>
                    <w:snapToGrid w:val="0"/>
                    <w:ind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独配套除尘装置，就地收集处理后无组织排放）</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依托现</w:t>
                  </w:r>
                </w:p>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有部分</w:t>
                  </w:r>
                </w:p>
              </w:tc>
              <w:tc>
                <w:tcPr>
                  <w:tcW w:w="692" w:type="pct"/>
                  <w:noWrap w:val="0"/>
                  <w:vAlign w:val="center"/>
                </w:tcPr>
                <w:p>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废水处理</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污水处理站100t/d</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污水处理站100t/d</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中水回用系统1套， 8m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/h；清净废水回收绿化系统，1套。</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中水回用系统1套， 8m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/h；清净废水回收绿化系统，1套。</w:t>
                  </w: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不变</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w:t>
                  </w:r>
                  <w:r>
                    <w:rPr>
                      <w:rStyle w:val="27"/>
                      <w:rFonts w:hint="default" w:ascii="Times New Roman" w:hAnsi="Times New Roman" w:eastAsia="宋体" w:cs="Times New Roman"/>
                      <w:color w:val="auto"/>
                      <w:sz w:val="21"/>
                      <w:szCs w:val="21"/>
                      <w:highlight w:val="none"/>
                    </w:rPr>
                    <w:t>废</w:t>
                  </w:r>
                  <w:r>
                    <w:rPr>
                      <w:rFonts w:hint="default" w:ascii="Times New Roman" w:hAnsi="Times New Roman" w:eastAsia="宋体" w:cs="Times New Roman"/>
                      <w:color w:val="auto"/>
                      <w:sz w:val="21"/>
                      <w:szCs w:val="21"/>
                      <w:highlight w:val="none"/>
                    </w:rPr>
                    <w:t>堆场</w:t>
                  </w:r>
                </w:p>
              </w:tc>
              <w:tc>
                <w:tcPr>
                  <w:tcW w:w="1210" w:type="pct"/>
                  <w:noWrap w:val="0"/>
                  <w:vAlign w:val="center"/>
                </w:tcPr>
                <w:p>
                  <w:pPr>
                    <w:pBdr>
                      <w:left w:val="single" w:color="auto" w:sz="4" w:space="0"/>
                    </w:pBd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50m</w:t>
                  </w:r>
                  <w:r>
                    <w:rPr>
                      <w:rFonts w:hint="default" w:ascii="Times New Roman" w:hAnsi="Times New Roman" w:eastAsia="宋体" w:cs="Times New Roman"/>
                      <w:color w:val="auto"/>
                      <w:sz w:val="21"/>
                      <w:szCs w:val="21"/>
                      <w:highlight w:val="none"/>
                      <w:vertAlign w:val="superscript"/>
                    </w:rPr>
                    <w:t>2</w:t>
                  </w:r>
                </w:p>
              </w:tc>
              <w:tc>
                <w:tcPr>
                  <w:tcW w:w="1216" w:type="pct"/>
                  <w:noWrap w:val="0"/>
                  <w:vAlign w:val="center"/>
                </w:tcPr>
                <w:p>
                  <w:pPr>
                    <w:pBdr>
                      <w:left w:val="single" w:color="auto" w:sz="4" w:space="0"/>
                    </w:pBd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50m</w:t>
                  </w:r>
                  <w:r>
                    <w:rPr>
                      <w:rFonts w:hint="default" w:ascii="Times New Roman" w:hAnsi="Times New Roman" w:eastAsia="宋体" w:cs="Times New Roman"/>
                      <w:color w:val="auto"/>
                      <w:sz w:val="21"/>
                      <w:szCs w:val="21"/>
                      <w:highlight w:val="none"/>
                      <w:vertAlign w:val="superscript"/>
                    </w:rPr>
                    <w:t>2</w:t>
                  </w:r>
                </w:p>
              </w:tc>
              <w:tc>
                <w:tcPr>
                  <w:tcW w:w="641" w:type="pct"/>
                  <w:noWrap w:val="0"/>
                  <w:vAlign w:val="center"/>
                </w:tcPr>
                <w:p>
                  <w:pPr>
                    <w:keepNext w:val="0"/>
                    <w:keepLines w:val="0"/>
                    <w:pageBreakBefore w:val="0"/>
                    <w:widowControl w:val="0"/>
                    <w:pBdr>
                      <w:left w:val="single" w:color="auto" w:sz="4" w:space="0"/>
                    </w:pBd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不变</w:t>
                  </w:r>
                </w:p>
              </w:tc>
              <w:tc>
                <w:tcPr>
                  <w:tcW w:w="692" w:type="pct"/>
                  <w:noWrap w:val="0"/>
                  <w:vAlign w:val="center"/>
                </w:tcPr>
                <w:p>
                  <w:pPr>
                    <w:pBdr>
                      <w:left w:val="single" w:color="auto" w:sz="4" w:space="0"/>
                    </w:pBd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危废仓库</w:t>
                  </w:r>
                </w:p>
              </w:tc>
              <w:tc>
                <w:tcPr>
                  <w:tcW w:w="1210" w:type="pct"/>
                  <w:noWrap w:val="0"/>
                  <w:vAlign w:val="center"/>
                </w:tcPr>
                <w:p>
                  <w:pPr>
                    <w:pBdr>
                      <w:left w:val="single" w:color="auto" w:sz="4" w:space="0"/>
                    </w:pBd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128.1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（危废暂存区设置</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个集装箱</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每个占地面积18.3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1216" w:type="pct"/>
                  <w:noWrap w:val="0"/>
                  <w:vAlign w:val="center"/>
                </w:tcPr>
                <w:p>
                  <w:pPr>
                    <w:pBdr>
                      <w:left w:val="single" w:color="auto" w:sz="4" w:space="0"/>
                    </w:pBd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128.1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（危废暂存区设置</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个集装箱</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每个占地面积18.3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641" w:type="pct"/>
                  <w:noWrap w:val="0"/>
                  <w:vAlign w:val="center"/>
                </w:tcPr>
                <w:p>
                  <w:pPr>
                    <w:keepNext w:val="0"/>
                    <w:keepLines w:val="0"/>
                    <w:pageBreakBefore w:val="0"/>
                    <w:widowControl w:val="0"/>
                    <w:pBdr>
                      <w:left w:val="single" w:color="auto" w:sz="4" w:space="0"/>
                    </w:pBd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不变</w:t>
                  </w:r>
                </w:p>
              </w:tc>
              <w:tc>
                <w:tcPr>
                  <w:tcW w:w="692" w:type="pct"/>
                  <w:noWrap w:val="0"/>
                  <w:vAlign w:val="center"/>
                </w:tcPr>
                <w:p>
                  <w:pPr>
                    <w:pBdr>
                      <w:left w:val="single" w:color="auto" w:sz="4" w:space="0"/>
                    </w:pBdr>
                    <w:adjustRightInd w:val="0"/>
                    <w:snapToGrid w:val="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36" w:type="pct"/>
                  <w:gridSpan w:val="2"/>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噪声处理</w:t>
                  </w:r>
                </w:p>
              </w:tc>
              <w:tc>
                <w:tcPr>
                  <w:tcW w:w="121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厂房隔声</w:t>
                  </w:r>
                </w:p>
              </w:tc>
              <w:tc>
                <w:tcPr>
                  <w:tcW w:w="121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厂房隔声</w:t>
                  </w:r>
                </w:p>
              </w:tc>
              <w:tc>
                <w:tcPr>
                  <w:tcW w:w="641"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92"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adjustRightInd w:val="0"/>
              <w:snapToGrid w:val="0"/>
              <w:spacing w:line="500" w:lineRule="exact"/>
              <w:ind w:firstLine="435"/>
              <w:jc w:val="left"/>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三、原辅料及设备清单</w:t>
            </w:r>
          </w:p>
          <w:p>
            <w:pPr>
              <w:adjustRightInd w:val="0"/>
              <w:snapToGrid w:val="0"/>
              <w:spacing w:line="500" w:lineRule="exact"/>
              <w:ind w:firstLine="435"/>
              <w:jc w:val="left"/>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本项目原辅材料详见下表2-3，设备清单详见下表2-</w:t>
            </w:r>
            <w:r>
              <w:rPr>
                <w:rFonts w:hint="default" w:ascii="Times New Roman" w:hAnsi="Times New Roman" w:eastAsia="宋体" w:cs="Times New Roman"/>
                <w:bCs/>
                <w:color w:val="auto"/>
                <w:sz w:val="24"/>
                <w:szCs w:val="21"/>
                <w:highlight w:val="none"/>
                <w:lang w:val="en-US" w:eastAsia="zh-CN"/>
              </w:rPr>
              <w:t>5</w:t>
            </w:r>
            <w:r>
              <w:rPr>
                <w:rFonts w:hint="default" w:ascii="Times New Roman" w:hAnsi="Times New Roman" w:eastAsia="宋体" w:cs="Times New Roman"/>
                <w:bCs/>
                <w:color w:val="auto"/>
                <w:sz w:val="24"/>
                <w:szCs w:val="21"/>
                <w:highlight w:val="none"/>
              </w:rPr>
              <w:t>。</w:t>
            </w:r>
          </w:p>
          <w:p>
            <w:pPr>
              <w:spacing w:line="500" w:lineRule="exact"/>
              <w:ind w:left="36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表2-3  本项目涉及的原辅料使用情况一览表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96"/>
              <w:gridCol w:w="1179"/>
              <w:gridCol w:w="3158"/>
              <w:gridCol w:w="581"/>
              <w:gridCol w:w="1356"/>
              <w:gridCol w:w="817"/>
              <w:gridCol w:w="13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99" w:hRule="atLeast"/>
                <w:tblHeader/>
                <w:jc w:val="center"/>
              </w:trPr>
              <w:tc>
                <w:tcPr>
                  <w:tcW w:w="225" w:type="pct"/>
                  <w:noWrap w:val="0"/>
                  <w:vAlign w:val="center"/>
                </w:tcPr>
                <w:p>
                  <w:pPr>
                    <w:tabs>
                      <w:tab w:val="center" w:pos="4153"/>
                      <w:tab w:val="right" w:pos="8306"/>
                    </w:tabs>
                    <w:adjustRightInd w:val="0"/>
                    <w:snapToGrid w:val="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序号</w:t>
                  </w:r>
                </w:p>
              </w:tc>
              <w:tc>
                <w:tcPr>
                  <w:tcW w:w="669" w:type="pct"/>
                  <w:noWrap w:val="0"/>
                  <w:vAlign w:val="center"/>
                </w:tcPr>
                <w:p>
                  <w:pPr>
                    <w:tabs>
                      <w:tab w:val="center" w:pos="4153"/>
                      <w:tab w:val="right" w:pos="8306"/>
                    </w:tabs>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原辅料</w:t>
                  </w:r>
                </w:p>
              </w:tc>
              <w:tc>
                <w:tcPr>
                  <w:tcW w:w="1794" w:type="pct"/>
                  <w:noWrap w:val="0"/>
                  <w:vAlign w:val="center"/>
                </w:tcPr>
                <w:p>
                  <w:pPr>
                    <w:tabs>
                      <w:tab w:val="center" w:pos="4153"/>
                      <w:tab w:val="right" w:pos="8306"/>
                    </w:tabs>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成分规格</w:t>
                  </w:r>
                </w:p>
              </w:tc>
              <w:tc>
                <w:tcPr>
                  <w:tcW w:w="330" w:type="pct"/>
                  <w:noWrap w:val="0"/>
                  <w:vAlign w:val="center"/>
                </w:tcPr>
                <w:p>
                  <w:pPr>
                    <w:tabs>
                      <w:tab w:val="center" w:pos="4153"/>
                      <w:tab w:val="right" w:pos="8306"/>
                    </w:tabs>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形态</w:t>
                  </w:r>
                </w:p>
              </w:tc>
              <w:tc>
                <w:tcPr>
                  <w:tcW w:w="770" w:type="pct"/>
                  <w:noWrap w:val="0"/>
                  <w:vAlign w:val="center"/>
                </w:tcPr>
                <w:p>
                  <w:pPr>
                    <w:tabs>
                      <w:tab w:val="center" w:pos="4153"/>
                      <w:tab w:val="right" w:pos="8306"/>
                    </w:tabs>
                    <w:adjustRightInd w:val="0"/>
                    <w:snapToGrid w:val="0"/>
                    <w:jc w:val="center"/>
                    <w:rPr>
                      <w:rFonts w:hint="default" w:ascii="Times New Roman" w:hAnsi="Times New Roman" w:eastAsia="宋体" w:cs="Times New Roman"/>
                      <w:b/>
                      <w:color w:val="auto"/>
                      <w:kern w:val="0"/>
                      <w:sz w:val="21"/>
                      <w:szCs w:val="21"/>
                      <w:highlight w:val="none"/>
                    </w:rPr>
                  </w:pPr>
                  <w:r>
                    <w:rPr>
                      <w:rFonts w:hint="eastAsia" w:cs="Times New Roman"/>
                      <w:b/>
                      <w:color w:val="auto"/>
                      <w:kern w:val="0"/>
                      <w:sz w:val="21"/>
                      <w:szCs w:val="21"/>
                      <w:highlight w:val="none"/>
                      <w:lang w:val="en-US" w:eastAsia="zh-CN"/>
                    </w:rPr>
                    <w:t>本项目</w:t>
                  </w:r>
                  <w:r>
                    <w:rPr>
                      <w:rFonts w:hint="default" w:ascii="Times New Roman" w:hAnsi="Times New Roman" w:eastAsia="宋体" w:cs="Times New Roman"/>
                      <w:b/>
                      <w:color w:val="auto"/>
                      <w:kern w:val="0"/>
                      <w:sz w:val="21"/>
                      <w:szCs w:val="21"/>
                      <w:highlight w:val="none"/>
                    </w:rPr>
                    <w:t>年用量</w:t>
                  </w:r>
                </w:p>
              </w:tc>
              <w:tc>
                <w:tcPr>
                  <w:tcW w:w="464" w:type="pct"/>
                  <w:noWrap w:val="0"/>
                  <w:vAlign w:val="center"/>
                </w:tcPr>
                <w:p>
                  <w:pPr>
                    <w:tabs>
                      <w:tab w:val="center" w:pos="4153"/>
                      <w:tab w:val="right" w:pos="8306"/>
                    </w:tabs>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单位</w:t>
                  </w:r>
                </w:p>
              </w:tc>
              <w:tc>
                <w:tcPr>
                  <w:tcW w:w="746" w:type="pct"/>
                  <w:noWrap w:val="0"/>
                  <w:vAlign w:val="center"/>
                </w:tcPr>
                <w:p>
                  <w:pPr>
                    <w:tabs>
                      <w:tab w:val="center" w:pos="4153"/>
                      <w:tab w:val="right" w:pos="8306"/>
                    </w:tabs>
                    <w:adjustRightInd w:val="0"/>
                    <w:snapToGrid w:val="0"/>
                    <w:jc w:val="center"/>
                    <w:rPr>
                      <w:rFonts w:hint="default" w:ascii="Times New Roman" w:hAnsi="Times New Roman" w:eastAsia="宋体" w:cs="Times New Roman"/>
                      <w:b/>
                      <w:color w:val="auto"/>
                      <w:kern w:val="0"/>
                      <w:sz w:val="21"/>
                      <w:szCs w:val="21"/>
                      <w:highlight w:val="none"/>
                      <w:lang w:eastAsia="zh-CN"/>
                    </w:rPr>
                  </w:pPr>
                  <w:r>
                    <w:rPr>
                      <w:rFonts w:hint="default" w:ascii="Times New Roman" w:hAnsi="Times New Roman" w:eastAsia="宋体" w:cs="Times New Roman"/>
                      <w:b/>
                      <w:color w:val="auto"/>
                      <w:kern w:val="0"/>
                      <w:sz w:val="21"/>
                      <w:szCs w:val="21"/>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25" w:type="pct"/>
                  <w:noWrap w:val="0"/>
                  <w:vAlign w:val="center"/>
                </w:tcPr>
                <w:p>
                  <w:pPr>
                    <w:widowControl/>
                    <w:autoSpaceDE w:val="0"/>
                    <w:autoSpaceDN w:val="0"/>
                    <w:adjustRightIn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w:t>
                  </w:r>
                </w:p>
              </w:tc>
              <w:tc>
                <w:tcPr>
                  <w:tcW w:w="669" w:type="pct"/>
                  <w:noWrap w:val="0"/>
                  <w:vAlign w:val="center"/>
                </w:tcPr>
                <w:p>
                  <w:pPr>
                    <w:widowControl/>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rPr>
                    <w:t>零件原材料</w:t>
                  </w:r>
                </w:p>
              </w:tc>
              <w:tc>
                <w:tcPr>
                  <w:tcW w:w="1794" w:type="pct"/>
                  <w:noWrap w:val="0"/>
                  <w:vAlign w:val="center"/>
                </w:tcPr>
                <w:p>
                  <w:pPr>
                    <w:widowControl/>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现有项目生产的共轨油轨产品</w:t>
                  </w:r>
                </w:p>
              </w:tc>
              <w:tc>
                <w:tcPr>
                  <w:tcW w:w="330" w:type="pct"/>
                  <w:noWrap w:val="0"/>
                  <w:vAlign w:val="center"/>
                </w:tcPr>
                <w:p>
                  <w:pPr>
                    <w:widowControl/>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rPr>
                    <w:t>固态</w:t>
                  </w:r>
                </w:p>
              </w:tc>
              <w:tc>
                <w:tcPr>
                  <w:tcW w:w="770" w:type="pct"/>
                  <w:noWrap w:val="0"/>
                  <w:vAlign w:val="center"/>
                </w:tcPr>
                <w:p>
                  <w:pPr>
                    <w:widowControl/>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color w:val="auto"/>
                      <w:kern w:val="0"/>
                      <w:szCs w:val="21"/>
                    </w:rPr>
                    <w:t>78</w:t>
                  </w:r>
                </w:p>
              </w:tc>
              <w:tc>
                <w:tcPr>
                  <w:tcW w:w="464"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万件/年</w:t>
                  </w:r>
                </w:p>
              </w:tc>
              <w:tc>
                <w:tcPr>
                  <w:tcW w:w="746" w:type="pct"/>
                  <w:noWrap w:val="0"/>
                  <w:vAlign w:val="center"/>
                </w:tcPr>
                <w:p>
                  <w:pPr>
                    <w:pStyle w:val="72"/>
                    <w:tabs>
                      <w:tab w:val="center" w:pos="4153"/>
                      <w:tab w:val="right" w:pos="8306"/>
                    </w:tabs>
                    <w:adjustRightIn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olor w:val="auto"/>
                      <w:kern w:val="0"/>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25" w:type="pct"/>
                  <w:noWrap w:val="0"/>
                  <w:vAlign w:val="center"/>
                </w:tcPr>
                <w:p>
                  <w:pPr>
                    <w:widowControl/>
                    <w:autoSpaceDE w:val="0"/>
                    <w:autoSpaceDN w:val="0"/>
                    <w:adjustRightIn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w:t>
                  </w:r>
                </w:p>
              </w:tc>
              <w:tc>
                <w:tcPr>
                  <w:tcW w:w="669" w:type="pct"/>
                  <w:noWrap w:val="0"/>
                  <w:vAlign w:val="center"/>
                </w:tcPr>
                <w:p>
                  <w:pPr>
                    <w:widowControl/>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color w:val="auto"/>
                      <w:kern w:val="0"/>
                      <w:szCs w:val="21"/>
                    </w:rPr>
                    <w:t>5088</w:t>
                  </w:r>
                  <w:r>
                    <w:rPr>
                      <w:rFonts w:hint="eastAsia"/>
                      <w:color w:val="auto"/>
                      <w:kern w:val="0"/>
                      <w:szCs w:val="21"/>
                    </w:rPr>
                    <w:t>清洗液</w:t>
                  </w:r>
                </w:p>
              </w:tc>
              <w:tc>
                <w:tcPr>
                  <w:tcW w:w="1794" w:type="pct"/>
                  <w:noWrap w:val="0"/>
                  <w:vAlign w:val="center"/>
                </w:tcPr>
                <w:p>
                  <w:pPr>
                    <w:widowControl/>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异壬算与三乙醇胺（1：1）的化合物2.5-10%，醇类（C12-18）2.5-10%，乙氧基丙氧基化C12-14-醇2.5-10%，乙氧基椰油烷基胺3-10%</w:t>
                  </w:r>
                </w:p>
              </w:tc>
              <w:tc>
                <w:tcPr>
                  <w:tcW w:w="330" w:type="pct"/>
                  <w:noWrap w:val="0"/>
                  <w:vAlign w:val="center"/>
                </w:tcPr>
                <w:p>
                  <w:pPr>
                    <w:widowControl/>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rPr>
                    <w:t>液态</w:t>
                  </w:r>
                </w:p>
              </w:tc>
              <w:tc>
                <w:tcPr>
                  <w:tcW w:w="770" w:type="pct"/>
                  <w:noWrap w:val="0"/>
                  <w:vAlign w:val="center"/>
                </w:tcPr>
                <w:p>
                  <w:pPr>
                    <w:widowControl/>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color w:val="auto"/>
                      <w:kern w:val="0"/>
                      <w:szCs w:val="21"/>
                    </w:rPr>
                    <w:t>0.5</w:t>
                  </w:r>
                </w:p>
              </w:tc>
              <w:tc>
                <w:tcPr>
                  <w:tcW w:w="464" w:type="pct"/>
                  <w:noWrap w:val="0"/>
                  <w:vAlign w:val="center"/>
                </w:tcPr>
                <w:p>
                  <w:pPr>
                    <w:widowControl/>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t/a</w:t>
                  </w:r>
                </w:p>
              </w:tc>
              <w:tc>
                <w:tcPr>
                  <w:tcW w:w="746" w:type="pct"/>
                  <w:noWrap w:val="0"/>
                  <w:vAlign w:val="center"/>
                </w:tcPr>
                <w:p>
                  <w:pPr>
                    <w:pStyle w:val="72"/>
                    <w:tabs>
                      <w:tab w:val="center" w:pos="4153"/>
                      <w:tab w:val="right" w:pos="8306"/>
                    </w:tabs>
                    <w:adjustRightInd w:val="0"/>
                    <w:jc w:val="center"/>
                    <w:rPr>
                      <w:rFonts w:hint="default" w:ascii="Times New Roman" w:hAnsi="Times New Roman" w:eastAsia="宋体" w:cs="Times New Roman"/>
                      <w:bCs/>
                      <w:color w:val="auto"/>
                      <w:sz w:val="21"/>
                      <w:szCs w:val="21"/>
                      <w:highlight w:val="none"/>
                    </w:rPr>
                  </w:pPr>
                  <w:r>
                    <w:rPr>
                      <w:rFonts w:hint="eastAsia" w:ascii="Times New Roman" w:hAnsi="Times New Roman"/>
                      <w:color w:val="auto"/>
                      <w:kern w:val="0"/>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25" w:type="pct"/>
                  <w:noWrap w:val="0"/>
                  <w:vAlign w:val="center"/>
                </w:tcPr>
                <w:p>
                  <w:pPr>
                    <w:widowControl/>
                    <w:autoSpaceDE w:val="0"/>
                    <w:autoSpaceDN w:val="0"/>
                    <w:adjustRightIn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w:t>
                  </w:r>
                </w:p>
              </w:tc>
              <w:tc>
                <w:tcPr>
                  <w:tcW w:w="669" w:type="pct"/>
                  <w:noWrap w:val="0"/>
                  <w:vAlign w:val="center"/>
                </w:tcPr>
                <w:p>
                  <w:pPr>
                    <w:widowControl/>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rPr>
                    <w:t>硝酸</w:t>
                  </w:r>
                </w:p>
              </w:tc>
              <w:tc>
                <w:tcPr>
                  <w:tcW w:w="1794" w:type="pct"/>
                  <w:noWrap w:val="0"/>
                  <w:vAlign w:val="center"/>
                </w:tcPr>
                <w:p>
                  <w:pPr>
                    <w:widowControl/>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25%浓度的硝酸溶液</w:t>
                  </w:r>
                </w:p>
              </w:tc>
              <w:tc>
                <w:tcPr>
                  <w:tcW w:w="330" w:type="pct"/>
                  <w:noWrap w:val="0"/>
                  <w:vAlign w:val="center"/>
                </w:tcPr>
                <w:p>
                  <w:pPr>
                    <w:widowControl/>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rPr>
                    <w:t>液态</w:t>
                  </w:r>
                </w:p>
              </w:tc>
              <w:tc>
                <w:tcPr>
                  <w:tcW w:w="770" w:type="pct"/>
                  <w:noWrap w:val="0"/>
                  <w:vAlign w:val="center"/>
                </w:tcPr>
                <w:p>
                  <w:pPr>
                    <w:widowControl/>
                    <w:autoSpaceDE w:val="0"/>
                    <w:autoSpaceDN w:val="0"/>
                    <w:adjustRightInd w:val="0"/>
                    <w:snapToGrid w:val="0"/>
                    <w:jc w:val="center"/>
                    <w:rPr>
                      <w:rFonts w:hint="eastAsia" w:ascii="Times New Roman" w:hAnsi="Times New Roman" w:eastAsia="宋体" w:cs="Times New Roman"/>
                      <w:color w:val="auto"/>
                      <w:kern w:val="0"/>
                      <w:sz w:val="21"/>
                      <w:szCs w:val="21"/>
                      <w:lang w:val="en-US" w:eastAsia="zh-CN" w:bidi="ar-SA"/>
                    </w:rPr>
                  </w:pPr>
                  <w:r>
                    <w:rPr>
                      <w:color w:val="auto"/>
                      <w:kern w:val="0"/>
                      <w:szCs w:val="21"/>
                    </w:rPr>
                    <w:t>0.</w:t>
                  </w:r>
                  <w:r>
                    <w:rPr>
                      <w:rFonts w:hint="eastAsia"/>
                      <w:color w:val="auto"/>
                      <w:kern w:val="0"/>
                      <w:szCs w:val="21"/>
                      <w:lang w:val="en-US" w:eastAsia="zh-CN"/>
                    </w:rPr>
                    <w:t>1</w:t>
                  </w:r>
                </w:p>
              </w:tc>
              <w:tc>
                <w:tcPr>
                  <w:tcW w:w="464" w:type="pct"/>
                  <w:noWrap w:val="0"/>
                  <w:vAlign w:val="center"/>
                </w:tcPr>
                <w:p>
                  <w:pPr>
                    <w:widowControl/>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t/a</w:t>
                  </w:r>
                </w:p>
              </w:tc>
              <w:tc>
                <w:tcPr>
                  <w:tcW w:w="746" w:type="pct"/>
                  <w:noWrap w:val="0"/>
                  <w:vAlign w:val="center"/>
                </w:tcPr>
                <w:p>
                  <w:pPr>
                    <w:pStyle w:val="72"/>
                    <w:tabs>
                      <w:tab w:val="center" w:pos="4153"/>
                      <w:tab w:val="right" w:pos="8306"/>
                    </w:tabs>
                    <w:adjustRightInd w:val="0"/>
                    <w:jc w:val="center"/>
                    <w:rPr>
                      <w:rFonts w:hint="default" w:ascii="Times New Roman" w:hAnsi="Times New Roman" w:eastAsia="宋体" w:cs="Times New Roman"/>
                      <w:bCs/>
                      <w:color w:val="auto"/>
                      <w:sz w:val="21"/>
                      <w:szCs w:val="21"/>
                      <w:highlight w:val="none"/>
                    </w:rPr>
                  </w:pPr>
                  <w:r>
                    <w:rPr>
                      <w:rFonts w:hint="eastAsia" w:ascii="Times New Roman" w:hAnsi="Times New Roman"/>
                      <w:color w:val="auto"/>
                      <w:kern w:val="0"/>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25" w:type="pct"/>
                  <w:noWrap w:val="0"/>
                  <w:vAlign w:val="center"/>
                </w:tcPr>
                <w:p>
                  <w:pPr>
                    <w:widowControl/>
                    <w:autoSpaceDE w:val="0"/>
                    <w:autoSpaceDN w:val="0"/>
                    <w:adjustRightIn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w:t>
                  </w:r>
                </w:p>
              </w:tc>
              <w:tc>
                <w:tcPr>
                  <w:tcW w:w="669" w:type="pct"/>
                  <w:noWrap w:val="0"/>
                  <w:vAlign w:val="center"/>
                </w:tcPr>
                <w:p>
                  <w:pPr>
                    <w:widowControl/>
                    <w:autoSpaceDE w:val="0"/>
                    <w:autoSpaceDN w:val="0"/>
                    <w:adjustRightInd w:val="0"/>
                    <w:snapToGrid w:val="0"/>
                    <w:jc w:val="center"/>
                    <w:rPr>
                      <w:rFonts w:hint="default"/>
                      <w:color w:val="auto"/>
                      <w:kern w:val="0"/>
                      <w:szCs w:val="21"/>
                      <w:lang w:val="en-US" w:eastAsia="zh-CN"/>
                    </w:rPr>
                  </w:pPr>
                  <w:r>
                    <w:rPr>
                      <w:rFonts w:hint="eastAsia"/>
                      <w:color w:val="auto"/>
                      <w:kern w:val="0"/>
                      <w:szCs w:val="21"/>
                    </w:rPr>
                    <w:t>硝酸钠</w:t>
                  </w:r>
                </w:p>
              </w:tc>
              <w:tc>
                <w:tcPr>
                  <w:tcW w:w="1794" w:type="pct"/>
                  <w:noWrap w:val="0"/>
                  <w:vAlign w:val="center"/>
                </w:tcPr>
                <w:p>
                  <w:pPr>
                    <w:widowControl/>
                    <w:autoSpaceDE w:val="0"/>
                    <w:autoSpaceDN w:val="0"/>
                    <w:adjustRightInd w:val="0"/>
                    <w:snapToGrid w:val="0"/>
                    <w:jc w:val="center"/>
                    <w:rPr>
                      <w:rFonts w:hint="default"/>
                      <w:color w:val="auto"/>
                      <w:kern w:val="0"/>
                      <w:szCs w:val="21"/>
                      <w:lang w:val="en-US" w:eastAsia="zh-CN"/>
                    </w:rPr>
                  </w:pPr>
                  <w:r>
                    <w:rPr>
                      <w:rFonts w:hint="eastAsia"/>
                      <w:color w:val="auto"/>
                      <w:kern w:val="0"/>
                      <w:szCs w:val="21"/>
                      <w:lang w:val="en-US" w:eastAsia="zh-CN"/>
                    </w:rPr>
                    <w:t>22%的硝酸钠溶液</w:t>
                  </w:r>
                </w:p>
              </w:tc>
              <w:tc>
                <w:tcPr>
                  <w:tcW w:w="330" w:type="pct"/>
                  <w:noWrap w:val="0"/>
                  <w:vAlign w:val="center"/>
                </w:tcPr>
                <w:p>
                  <w:pPr>
                    <w:widowControl/>
                    <w:autoSpaceDE w:val="0"/>
                    <w:autoSpaceDN w:val="0"/>
                    <w:adjustRightInd w:val="0"/>
                    <w:snapToGrid w:val="0"/>
                    <w:jc w:val="center"/>
                    <w:rPr>
                      <w:rFonts w:hint="default"/>
                      <w:color w:val="auto"/>
                      <w:kern w:val="0"/>
                      <w:szCs w:val="21"/>
                      <w:lang w:val="en-US" w:eastAsia="zh-CN"/>
                    </w:rPr>
                  </w:pPr>
                  <w:r>
                    <w:rPr>
                      <w:rFonts w:hint="eastAsia"/>
                      <w:color w:val="auto"/>
                      <w:kern w:val="0"/>
                      <w:szCs w:val="21"/>
                    </w:rPr>
                    <w:t>固态</w:t>
                  </w:r>
                </w:p>
              </w:tc>
              <w:tc>
                <w:tcPr>
                  <w:tcW w:w="770" w:type="pct"/>
                  <w:noWrap w:val="0"/>
                  <w:vAlign w:val="center"/>
                </w:tcPr>
                <w:p>
                  <w:pPr>
                    <w:widowControl/>
                    <w:autoSpaceDE w:val="0"/>
                    <w:autoSpaceDN w:val="0"/>
                    <w:adjustRightInd w:val="0"/>
                    <w:snapToGrid w:val="0"/>
                    <w:jc w:val="center"/>
                    <w:rPr>
                      <w:rFonts w:hint="default"/>
                      <w:color w:val="auto"/>
                      <w:kern w:val="0"/>
                      <w:szCs w:val="21"/>
                      <w:lang w:val="en-US" w:eastAsia="zh-CN"/>
                    </w:rPr>
                  </w:pPr>
                  <w:r>
                    <w:rPr>
                      <w:rFonts w:hint="eastAsia"/>
                      <w:color w:val="auto"/>
                      <w:kern w:val="0"/>
                      <w:szCs w:val="21"/>
                      <w:lang w:val="en-US" w:eastAsia="zh-CN"/>
                    </w:rPr>
                    <w:t>1.</w:t>
                  </w:r>
                  <w:r>
                    <w:rPr>
                      <w:rFonts w:hint="eastAsia"/>
                      <w:color w:val="auto"/>
                      <w:kern w:val="0"/>
                      <w:szCs w:val="21"/>
                    </w:rPr>
                    <w:t>5</w:t>
                  </w:r>
                </w:p>
              </w:tc>
              <w:tc>
                <w:tcPr>
                  <w:tcW w:w="464"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746" w:type="pct"/>
                  <w:noWrap w:val="0"/>
                  <w:vAlign w:val="center"/>
                </w:tcPr>
                <w:p>
                  <w:pPr>
                    <w:pStyle w:val="72"/>
                    <w:tabs>
                      <w:tab w:val="center" w:pos="4153"/>
                      <w:tab w:val="right" w:pos="8306"/>
                    </w:tabs>
                    <w:adjustRightInd w:val="0"/>
                    <w:jc w:val="center"/>
                    <w:rPr>
                      <w:rFonts w:hint="default" w:ascii="Times New Roman" w:hAnsi="Times New Roman" w:eastAsia="宋体" w:cs="Times New Roman"/>
                      <w:bCs/>
                      <w:color w:val="auto"/>
                      <w:sz w:val="21"/>
                      <w:szCs w:val="21"/>
                      <w:highlight w:val="none"/>
                    </w:rPr>
                  </w:pPr>
                  <w:r>
                    <w:rPr>
                      <w:rFonts w:hint="eastAsia" w:ascii="Times New Roman" w:hAnsi="Times New Roman"/>
                      <w:color w:val="auto"/>
                      <w:kern w:val="0"/>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25" w:type="pct"/>
                  <w:noWrap w:val="0"/>
                  <w:vAlign w:val="center"/>
                </w:tcPr>
                <w:p>
                  <w:pPr>
                    <w:widowControl/>
                    <w:autoSpaceDE w:val="0"/>
                    <w:autoSpaceDN w:val="0"/>
                    <w:adjustRightInd w:val="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5</w:t>
                  </w:r>
                </w:p>
              </w:tc>
              <w:tc>
                <w:tcPr>
                  <w:tcW w:w="669"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测试油</w:t>
                  </w:r>
                </w:p>
              </w:tc>
              <w:tc>
                <w:tcPr>
                  <w:tcW w:w="1794"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矿物油</w:t>
                  </w:r>
                </w:p>
              </w:tc>
              <w:tc>
                <w:tcPr>
                  <w:tcW w:w="330" w:type="pct"/>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液态</w:t>
                  </w:r>
                </w:p>
              </w:tc>
              <w:tc>
                <w:tcPr>
                  <w:tcW w:w="770" w:type="pct"/>
                  <w:noWrap w:val="0"/>
                  <w:vAlign w:val="center"/>
                </w:tcPr>
                <w:p>
                  <w:pPr>
                    <w:widowControl/>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464" w:type="pct"/>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746" w:type="pct"/>
                  <w:noWrap w:val="0"/>
                  <w:vAlign w:val="center"/>
                </w:tcPr>
                <w:p>
                  <w:pPr>
                    <w:pStyle w:val="72"/>
                    <w:tabs>
                      <w:tab w:val="center" w:pos="4153"/>
                      <w:tab w:val="right" w:pos="8306"/>
                    </w:tabs>
                    <w:adjustRightInd w:val="0"/>
                    <w:jc w:val="center"/>
                    <w:rPr>
                      <w:rFonts w:hint="default" w:ascii="Times New Roman" w:hAnsi="Times New Roman" w:eastAsia="宋体" w:cs="Times New Roman"/>
                      <w:bCs/>
                      <w:color w:val="auto"/>
                      <w:sz w:val="21"/>
                      <w:szCs w:val="21"/>
                      <w:highlight w:val="none"/>
                    </w:rPr>
                  </w:pPr>
                  <w:r>
                    <w:rPr>
                      <w:rFonts w:hint="eastAsia" w:ascii="Times New Roman" w:hAnsi="Times New Roman"/>
                      <w:color w:val="auto"/>
                      <w:kern w:val="0"/>
                      <w:szCs w:val="21"/>
                      <w:lang w:val="en-US" w:eastAsia="zh-CN"/>
                    </w:rPr>
                    <w:t>新增</w:t>
                  </w:r>
                </w:p>
              </w:tc>
            </w:tr>
          </w:tbl>
          <w:p>
            <w:pPr>
              <w:spacing w:line="460" w:lineRule="exact"/>
              <w:ind w:firstLine="482"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color w:val="auto"/>
                <w:sz w:val="24"/>
                <w:highlight w:val="none"/>
              </w:rPr>
              <w:t>备注：</w:t>
            </w:r>
            <w:r>
              <w:rPr>
                <w:rFonts w:hint="default" w:ascii="Times New Roman" w:hAnsi="Times New Roman" w:eastAsia="宋体" w:cs="Times New Roman"/>
                <w:color w:val="auto"/>
                <w:sz w:val="24"/>
                <w:highlight w:val="none"/>
              </w:rPr>
              <w:t>本项目使用</w:t>
            </w:r>
            <w:r>
              <w:rPr>
                <w:rFonts w:hint="default" w:ascii="Times New Roman" w:hAnsi="Times New Roman" w:eastAsia="宋体" w:cs="Times New Roman"/>
                <w:b w:val="0"/>
                <w:bCs w:val="0"/>
                <w:color w:val="auto"/>
                <w:sz w:val="24"/>
                <w:highlight w:val="none"/>
              </w:rPr>
              <w:t>的</w:t>
            </w:r>
            <w:r>
              <w:rPr>
                <w:rFonts w:hint="eastAsia" w:cs="Times New Roman"/>
                <w:b w:val="0"/>
                <w:bCs w:val="0"/>
                <w:color w:val="auto"/>
                <w:sz w:val="24"/>
                <w:highlight w:val="none"/>
                <w:lang w:val="en-US" w:eastAsia="zh-CN"/>
              </w:rPr>
              <w:t>水基型清洗剂5088，主要</w:t>
            </w:r>
            <w:r>
              <w:rPr>
                <w:rFonts w:hint="eastAsia" w:cs="Times New Roman"/>
                <w:color w:val="auto"/>
                <w:sz w:val="24"/>
                <w:highlight w:val="none"/>
                <w:lang w:val="en-US" w:eastAsia="zh-CN"/>
              </w:rPr>
              <w:t>成分为异壬酸与三乙醇胺（1：1）的化合物2.5-10%，醇类（C12-18）2.5-10%，乙氧基丙氧基化C12-14-醇2.5-10%，乙氧基椰油烷基胺3-10%。</w:t>
            </w:r>
            <w:r>
              <w:rPr>
                <w:rFonts w:hint="default" w:ascii="Times New Roman" w:hAnsi="Times New Roman" w:eastAsia="宋体" w:cs="Times New Roman"/>
                <w:color w:val="auto"/>
                <w:sz w:val="24"/>
                <w:highlight w:val="none"/>
              </w:rPr>
              <w:t>根据建设单位提供的检测报告，其挥发性有机物含量为</w:t>
            </w:r>
            <w:r>
              <w:rPr>
                <w:rFonts w:hint="eastAsia" w:cs="Times New Roman"/>
                <w:color w:val="auto"/>
                <w:sz w:val="24"/>
                <w:highlight w:val="none"/>
                <w:lang w:val="en-US" w:eastAsia="zh-CN"/>
              </w:rPr>
              <w:t>未检出</w:t>
            </w:r>
            <w:r>
              <w:rPr>
                <w:rFonts w:hint="default" w:ascii="Times New Roman" w:hAnsi="Times New Roman" w:eastAsia="宋体" w:cs="Times New Roman"/>
                <w:color w:val="auto"/>
                <w:sz w:val="24"/>
                <w:highlight w:val="none"/>
              </w:rPr>
              <w:t>，满足《清洗剂挥发性有机化合物含量限值》（GB38508-2020）中水基型清洗剂中挥发性组分含量占比≤50g/L的要求。</w:t>
            </w:r>
          </w:p>
          <w:p>
            <w:pPr>
              <w:keepNext w:val="0"/>
              <w:keepLines w:val="0"/>
              <w:pageBreakBefore w:val="0"/>
              <w:widowControl w:val="0"/>
              <w:kinsoku/>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 xml:space="preserve">  本项目涉及的主要原辅料理化性质一览表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587"/>
              <w:gridCol w:w="946"/>
              <w:gridCol w:w="3078"/>
              <w:gridCol w:w="1395"/>
              <w:gridCol w:w="17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901" w:type="pct"/>
                  <w:noWrap w:val="0"/>
                  <w:vAlign w:val="center"/>
                </w:tcPr>
                <w:p>
                  <w:pPr>
                    <w:widowControl/>
                    <w:adjustRightInd w:val="0"/>
                    <w:snapToGrid w:val="0"/>
                    <w:jc w:val="center"/>
                    <w:textAlignment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原辅料名称</w:t>
                  </w:r>
                </w:p>
              </w:tc>
              <w:tc>
                <w:tcPr>
                  <w:tcW w:w="537" w:type="pct"/>
                  <w:noWrap w:val="0"/>
                  <w:vAlign w:val="center"/>
                </w:tcPr>
                <w:p>
                  <w:pPr>
                    <w:widowControl/>
                    <w:adjustRightInd w:val="0"/>
                    <w:snapToGrid w:val="0"/>
                    <w:jc w:val="center"/>
                    <w:textAlignment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CAS号</w:t>
                  </w:r>
                </w:p>
              </w:tc>
              <w:tc>
                <w:tcPr>
                  <w:tcW w:w="1747" w:type="pct"/>
                  <w:noWrap w:val="0"/>
                  <w:vAlign w:val="center"/>
                </w:tcPr>
                <w:p>
                  <w:pPr>
                    <w:widowControl/>
                    <w:adjustRightInd w:val="0"/>
                    <w:snapToGrid w:val="0"/>
                    <w:jc w:val="center"/>
                    <w:textAlignment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理化性质</w:t>
                  </w:r>
                </w:p>
              </w:tc>
              <w:tc>
                <w:tcPr>
                  <w:tcW w:w="792" w:type="pct"/>
                  <w:noWrap w:val="0"/>
                  <w:vAlign w:val="center"/>
                </w:tcPr>
                <w:p>
                  <w:pPr>
                    <w:widowControl/>
                    <w:adjustRightInd w:val="0"/>
                    <w:snapToGrid w:val="0"/>
                    <w:jc w:val="center"/>
                    <w:textAlignment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燃烧爆炸性</w:t>
                  </w:r>
                </w:p>
              </w:tc>
              <w:tc>
                <w:tcPr>
                  <w:tcW w:w="1021" w:type="pct"/>
                  <w:noWrap w:val="0"/>
                  <w:vAlign w:val="center"/>
                </w:tcPr>
                <w:p>
                  <w:pPr>
                    <w:widowControl/>
                    <w:adjustRightInd w:val="0"/>
                    <w:snapToGrid w:val="0"/>
                    <w:jc w:val="center"/>
                    <w:textAlignment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毒理毒性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901" w:type="pct"/>
                  <w:noWrap w:val="0"/>
                  <w:vAlign w:val="center"/>
                </w:tcPr>
                <w:p>
                  <w:pPr>
                    <w:jc w:val="center"/>
                    <w:rPr>
                      <w:rFonts w:hint="default" w:ascii="Times New Roman" w:hAnsi="Times New Roman" w:eastAsia="宋体" w:cs="Times New Roman"/>
                      <w:bCs/>
                      <w:color w:val="auto"/>
                      <w:szCs w:val="21"/>
                      <w:highlight w:val="none"/>
                      <w:lang w:val="en-US"/>
                    </w:rPr>
                  </w:pPr>
                  <w:r>
                    <w:rPr>
                      <w:rFonts w:hint="eastAsia" w:cs="Times New Roman"/>
                      <w:color w:val="auto"/>
                      <w:szCs w:val="21"/>
                      <w:highlight w:val="none"/>
                      <w:lang w:val="en-US" w:eastAsia="zh-CN"/>
                    </w:rPr>
                    <w:t>5088清洗液</w:t>
                  </w:r>
                </w:p>
              </w:tc>
              <w:tc>
                <w:tcPr>
                  <w:tcW w:w="537" w:type="pct"/>
                  <w:noWrap w:val="0"/>
                  <w:vAlign w:val="center"/>
                </w:tcPr>
                <w:p>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1747" w:type="pct"/>
                  <w:noWrap w:val="0"/>
                  <w:vAlign w:val="center"/>
                </w:tcPr>
                <w:p>
                  <w:pPr>
                    <w:widowControl/>
                    <w:jc w:val="center"/>
                    <w:rPr>
                      <w:rFonts w:hint="default" w:ascii="Times New Roman" w:hAnsi="Times New Roman" w:eastAsia="宋体" w:cs="Times New Roman"/>
                      <w:color w:val="auto"/>
                      <w:szCs w:val="21"/>
                      <w:highlight w:val="none"/>
                      <w:vertAlign w:val="baseline"/>
                      <w:lang w:val="en-US" w:eastAsia="zh-CN"/>
                    </w:rPr>
                  </w:pPr>
                  <w:r>
                    <w:rPr>
                      <w:rFonts w:hint="eastAsia" w:cs="Times New Roman"/>
                      <w:color w:val="auto"/>
                      <w:szCs w:val="21"/>
                      <w:highlight w:val="none"/>
                      <w:lang w:val="en-US" w:eastAsia="zh-CN"/>
                    </w:rPr>
                    <w:t>黄色液体，pH8.85，密度为1.05g/cm</w:t>
                  </w:r>
                  <w:r>
                    <w:rPr>
                      <w:rFonts w:hint="eastAsia" w:cs="Times New Roman"/>
                      <w:color w:val="auto"/>
                      <w:szCs w:val="21"/>
                      <w:highlight w:val="none"/>
                      <w:vertAlign w:val="superscript"/>
                      <w:lang w:val="en-US" w:eastAsia="zh-CN"/>
                    </w:rPr>
                    <w:t>3</w:t>
                  </w:r>
                  <w:r>
                    <w:rPr>
                      <w:rFonts w:hint="eastAsia" w:cs="Times New Roman"/>
                      <w:color w:val="auto"/>
                      <w:szCs w:val="21"/>
                      <w:highlight w:val="none"/>
                      <w:vertAlign w:val="baseline"/>
                      <w:lang w:val="en-US" w:eastAsia="zh-CN"/>
                    </w:rPr>
                    <w:t>，闪点&gt;93℃。</w:t>
                  </w:r>
                </w:p>
              </w:tc>
              <w:tc>
                <w:tcPr>
                  <w:tcW w:w="792" w:type="pct"/>
                  <w:noWrap w:val="0"/>
                  <w:vAlign w:val="center"/>
                </w:tcPr>
                <w:p>
                  <w:pPr>
                    <w:widowControl/>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可燃</w:t>
                  </w:r>
                </w:p>
              </w:tc>
              <w:tc>
                <w:tcPr>
                  <w:tcW w:w="1021"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vertAlign w:val="baseline"/>
                      <w:lang w:val="en-US" w:eastAsia="zh-CN"/>
                    </w:rPr>
                    <w:t>急性毒性估计值&gt;5000mg/kg</w:t>
                  </w:r>
                </w:p>
              </w:tc>
            </w:tr>
          </w:tbl>
          <w:p>
            <w:pPr>
              <w:adjustRightInd w:val="0"/>
              <w:snapToGrid w:val="0"/>
              <w:spacing w:line="480" w:lineRule="exact"/>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 xml:space="preserve">   本项目涉及的生产及辅助设备清单一览表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676"/>
              <w:gridCol w:w="2437"/>
              <w:gridCol w:w="1873"/>
              <w:gridCol w:w="1055"/>
              <w:gridCol w:w="1336"/>
              <w:gridCol w:w="14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tblHeader/>
                <w:jc w:val="center"/>
              </w:trPr>
              <w:tc>
                <w:tcPr>
                  <w:tcW w:w="38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38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设备名称</w:t>
                  </w:r>
                </w:p>
              </w:tc>
              <w:tc>
                <w:tcPr>
                  <w:tcW w:w="106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型号</w:t>
                  </w:r>
                </w:p>
              </w:tc>
              <w:tc>
                <w:tcPr>
                  <w:tcW w:w="59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（台/套）</w:t>
                  </w:r>
                </w:p>
              </w:tc>
              <w:tc>
                <w:tcPr>
                  <w:tcW w:w="75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安装位置</w:t>
                  </w:r>
                </w:p>
              </w:tc>
              <w:tc>
                <w:tcPr>
                  <w:tcW w:w="80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4" w:type="pc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38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针点刺字机</w:t>
                  </w:r>
                </w:p>
              </w:tc>
              <w:tc>
                <w:tcPr>
                  <w:tcW w:w="106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Bosch 001</w:t>
                  </w:r>
                </w:p>
              </w:tc>
              <w:tc>
                <w:tcPr>
                  <w:tcW w:w="59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1</w:t>
                  </w:r>
                </w:p>
              </w:tc>
              <w:tc>
                <w:tcPr>
                  <w:tcW w:w="75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B302</w:t>
                  </w:r>
                </w:p>
              </w:tc>
              <w:tc>
                <w:tcPr>
                  <w:tcW w:w="80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84" w:type="pc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138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电化学加工设备（机器人）</w:t>
                  </w:r>
                </w:p>
              </w:tc>
              <w:tc>
                <w:tcPr>
                  <w:tcW w:w="106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ATOM1 843392160</w:t>
                  </w:r>
                </w:p>
              </w:tc>
              <w:tc>
                <w:tcPr>
                  <w:tcW w:w="59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1</w:t>
                  </w:r>
                </w:p>
              </w:tc>
              <w:tc>
                <w:tcPr>
                  <w:tcW w:w="75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B302</w:t>
                  </w:r>
                </w:p>
              </w:tc>
              <w:tc>
                <w:tcPr>
                  <w:tcW w:w="80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4" w:type="pc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138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内窥镜检测台</w:t>
                  </w:r>
                </w:p>
              </w:tc>
              <w:tc>
                <w:tcPr>
                  <w:tcW w:w="106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Bosch 001</w:t>
                  </w:r>
                </w:p>
              </w:tc>
              <w:tc>
                <w:tcPr>
                  <w:tcW w:w="59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1</w:t>
                  </w:r>
                </w:p>
              </w:tc>
              <w:tc>
                <w:tcPr>
                  <w:tcW w:w="75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B302</w:t>
                  </w:r>
                </w:p>
              </w:tc>
              <w:tc>
                <w:tcPr>
                  <w:tcW w:w="80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4" w:type="pc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138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传送带</w:t>
                  </w:r>
                </w:p>
              </w:tc>
              <w:tc>
                <w:tcPr>
                  <w:tcW w:w="106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VSP-KOVO 15-002-ZM5013</w:t>
                  </w:r>
                </w:p>
              </w:tc>
              <w:tc>
                <w:tcPr>
                  <w:tcW w:w="59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1</w:t>
                  </w:r>
                </w:p>
              </w:tc>
              <w:tc>
                <w:tcPr>
                  <w:tcW w:w="75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B302</w:t>
                  </w:r>
                </w:p>
              </w:tc>
              <w:tc>
                <w:tcPr>
                  <w:tcW w:w="80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4" w:type="pc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38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自紧压力强化设备</w:t>
                  </w:r>
                </w:p>
              </w:tc>
              <w:tc>
                <w:tcPr>
                  <w:tcW w:w="106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Bosch 0843394983</w:t>
                  </w:r>
                </w:p>
              </w:tc>
              <w:tc>
                <w:tcPr>
                  <w:tcW w:w="59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1</w:t>
                  </w:r>
                </w:p>
              </w:tc>
              <w:tc>
                <w:tcPr>
                  <w:tcW w:w="75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B302</w:t>
                  </w:r>
                </w:p>
              </w:tc>
              <w:tc>
                <w:tcPr>
                  <w:tcW w:w="80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84" w:type="pc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38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中和清洗机</w:t>
                  </w:r>
                </w:p>
              </w:tc>
              <w:tc>
                <w:tcPr>
                  <w:tcW w:w="106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w:t>
                  </w:r>
                </w:p>
              </w:tc>
              <w:tc>
                <w:tcPr>
                  <w:tcW w:w="59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1</w:t>
                  </w:r>
                </w:p>
              </w:tc>
              <w:tc>
                <w:tcPr>
                  <w:tcW w:w="75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B302</w:t>
                  </w:r>
                </w:p>
              </w:tc>
              <w:tc>
                <w:tcPr>
                  <w:tcW w:w="80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新增</w:t>
                  </w:r>
                </w:p>
              </w:tc>
            </w:tr>
          </w:tbl>
          <w:p>
            <w:pPr>
              <w:adjustRightInd w:val="0"/>
              <w:snapToGrid w:val="0"/>
              <w:spacing w:line="480" w:lineRule="exact"/>
              <w:ind w:firstLine="437"/>
              <w:jc w:val="left"/>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四、厂区平面布置</w:t>
            </w:r>
          </w:p>
          <w:p>
            <w:pPr>
              <w:adjustRightInd w:val="0"/>
              <w:snapToGrid w:val="0"/>
              <w:spacing w:line="480" w:lineRule="exact"/>
              <w:ind w:firstLine="437"/>
              <w:jc w:val="left"/>
              <w:rPr>
                <w:rFonts w:hint="default" w:ascii="Times New Roman" w:hAnsi="Times New Roman" w:eastAsia="宋体" w:cs="Times New Roman"/>
                <w:b/>
                <w:bCs/>
                <w:color w:val="auto"/>
                <w:sz w:val="24"/>
                <w:szCs w:val="21"/>
                <w:highlight w:val="none"/>
              </w:rPr>
            </w:pPr>
            <w:r>
              <w:rPr>
                <w:rFonts w:hint="eastAsia" w:cs="Times New Roman"/>
                <w:bCs/>
                <w:color w:val="auto"/>
                <w:sz w:val="24"/>
                <w:szCs w:val="21"/>
                <w:highlight w:val="none"/>
                <w:lang w:val="en-US" w:eastAsia="zh-CN"/>
              </w:rPr>
              <w:t>本项目强化轨体布置于B302车间</w:t>
            </w:r>
            <w:r>
              <w:rPr>
                <w:rFonts w:hint="default" w:ascii="Times New Roman" w:hAnsi="Times New Roman" w:eastAsia="宋体" w:cs="Times New Roman"/>
                <w:bCs/>
                <w:color w:val="auto"/>
                <w:sz w:val="24"/>
                <w:szCs w:val="21"/>
                <w:highlight w:val="none"/>
              </w:rPr>
              <w:t>。详见附图4“本项目所在厂区平面布局图”和附图5“本项目车间平面布局图”。</w:t>
            </w:r>
          </w:p>
          <w:p>
            <w:pPr>
              <w:adjustRightInd w:val="0"/>
              <w:snapToGrid w:val="0"/>
              <w:spacing w:line="480" w:lineRule="exact"/>
              <w:ind w:firstLine="435"/>
              <w:jc w:val="left"/>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五、生产工艺流程及产污环节分析</w:t>
            </w:r>
          </w:p>
          <w:p>
            <w:pPr>
              <w:adjustRightInd w:val="0"/>
              <w:snapToGrid w:val="0"/>
              <w:spacing w:line="480" w:lineRule="exact"/>
              <w:ind w:firstLine="435"/>
              <w:jc w:val="left"/>
              <w:rPr>
                <w:rFonts w:hint="default" w:ascii="Times New Roman" w:hAnsi="Times New Roman" w:eastAsia="宋体" w:cs="Times New Roman"/>
                <w:b/>
                <w:bCs/>
                <w:color w:val="auto"/>
                <w:sz w:val="24"/>
                <w:szCs w:val="21"/>
                <w:highlight w:val="none"/>
                <w:lang w:val="en-US" w:eastAsia="zh-CN"/>
              </w:rPr>
            </w:pPr>
            <w:r>
              <w:rPr>
                <w:rFonts w:hint="default" w:ascii="Times New Roman" w:hAnsi="Times New Roman" w:eastAsia="宋体" w:cs="Times New Roman"/>
                <w:b/>
                <w:bCs/>
                <w:color w:val="auto"/>
                <w:sz w:val="24"/>
                <w:szCs w:val="21"/>
                <w:highlight w:val="none"/>
                <w:lang w:eastAsia="zh-CN"/>
              </w:rPr>
              <w:t>（</w:t>
            </w:r>
            <w:r>
              <w:rPr>
                <w:rFonts w:hint="default" w:ascii="Times New Roman" w:hAnsi="Times New Roman" w:eastAsia="宋体" w:cs="Times New Roman"/>
                <w:b/>
                <w:bCs/>
                <w:color w:val="auto"/>
                <w:sz w:val="24"/>
                <w:szCs w:val="21"/>
                <w:highlight w:val="none"/>
                <w:lang w:val="en-US" w:eastAsia="zh-CN"/>
              </w:rPr>
              <w:t>一）生产工艺流程</w:t>
            </w:r>
          </w:p>
          <w:p>
            <w:pPr>
              <w:keepNext w:val="0"/>
              <w:keepLines w:val="0"/>
              <w:pageBreakBefore w:val="0"/>
              <w:widowControl w:val="0"/>
              <w:kinsoku/>
              <w:wordWrap/>
              <w:overflowPunct/>
              <w:topLinePunct w:val="0"/>
              <w:autoSpaceDE/>
              <w:autoSpaceDN/>
              <w:bidi w:val="0"/>
              <w:adjustRightInd w:val="0"/>
              <w:snapToGrid w:val="0"/>
              <w:spacing w:line="500" w:lineRule="exact"/>
              <w:ind w:firstLine="435"/>
              <w:jc w:val="left"/>
              <w:textAlignment w:val="auto"/>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lang w:val="en-US" w:eastAsia="zh-CN"/>
              </w:rPr>
              <w:t>（</w:t>
            </w:r>
            <w:r>
              <w:rPr>
                <w:rFonts w:hint="eastAsia" w:cs="Times New Roman"/>
                <w:b/>
                <w:bCs/>
                <w:color w:val="auto"/>
                <w:sz w:val="24"/>
                <w:szCs w:val="21"/>
                <w:highlight w:val="none"/>
                <w:lang w:val="en-US" w:eastAsia="zh-CN"/>
              </w:rPr>
              <w:t>1</w:t>
            </w:r>
            <w:r>
              <w:rPr>
                <w:rFonts w:hint="default" w:ascii="Times New Roman" w:hAnsi="Times New Roman" w:eastAsia="宋体" w:cs="Times New Roman"/>
                <w:b/>
                <w:bCs/>
                <w:color w:val="auto"/>
                <w:sz w:val="24"/>
                <w:szCs w:val="21"/>
                <w:highlight w:val="none"/>
                <w:lang w:val="en-US" w:eastAsia="zh-CN"/>
              </w:rPr>
              <w:t>）</w:t>
            </w:r>
            <w:r>
              <w:rPr>
                <w:rFonts w:hint="eastAsia" w:cs="Times New Roman"/>
                <w:b/>
                <w:bCs/>
                <w:color w:val="auto"/>
                <w:sz w:val="24"/>
                <w:szCs w:val="21"/>
                <w:highlight w:val="none"/>
                <w:lang w:val="en-US" w:eastAsia="zh-CN"/>
              </w:rPr>
              <w:t>强化轨体生产工艺：</w:t>
            </w:r>
            <w:r>
              <w:rPr>
                <w:rFonts w:hint="default" w:ascii="Times New Roman" w:hAnsi="Times New Roman" w:eastAsia="宋体" w:cs="Times New Roman"/>
                <w:b/>
                <w:bCs/>
                <w:color w:val="auto"/>
                <w:sz w:val="24"/>
                <w:szCs w:val="21"/>
                <w:highlight w:val="none"/>
              </w:rPr>
              <w:t xml:space="preserve"> </w:t>
            </w:r>
          </w:p>
          <w:p>
            <w:pPr>
              <w:pStyle w:val="78"/>
              <w:widowControl w:val="0"/>
              <w:spacing w:after="0" w:line="240" w:lineRule="auto"/>
              <w:ind w:firstLine="480" w:firstLineChars="200"/>
              <w:jc w:val="center"/>
              <w:rPr>
                <w:rFonts w:hint="default" w:ascii="Times New Roman" w:hAnsi="Times New Roman" w:eastAsia="宋体" w:cs="Times New Roman"/>
                <w:b w:val="0"/>
                <w:bCs/>
                <w:snapToGrid w:val="0"/>
                <w:color w:val="auto"/>
                <w:sz w:val="24"/>
                <w:szCs w:val="24"/>
                <w:highlight w:val="none"/>
                <w:vertAlign w:val="baseline"/>
                <w:lang w:val="en-US" w:eastAsia="zh-CN"/>
              </w:rPr>
            </w:pPr>
            <w:r>
              <w:rPr>
                <w:rFonts w:hint="default" w:ascii="Times New Roman" w:hAnsi="Times New Roman" w:eastAsia="宋体" w:cs="Times New Roman"/>
                <w:b w:val="0"/>
                <w:bCs/>
                <w:snapToGrid w:val="0"/>
                <w:color w:val="auto"/>
                <w:sz w:val="24"/>
                <w:szCs w:val="24"/>
                <w:highlight w:val="none"/>
                <w:vertAlign w:val="baseline"/>
                <w:lang w:val="en-US" w:eastAsia="zh-CN"/>
              </w:rPr>
              <w:object>
                <v:shape id="_x0000_i1025" o:spt="75" type="#_x0000_t75" style="height:424.5pt;width:344pt;" o:ole="t" filled="f" o:preferrelative="t" stroked="f" coordsize="21600,21600">
                  <v:path/>
                  <v:fill on="f" focussize="0,0"/>
                  <v:stroke on="f"/>
                  <v:imagedata r:id="rId14" o:title=""/>
                  <o:lock v:ext="edit" aspectratio="f"/>
                  <w10:wrap type="none"/>
                  <w10:anchorlock/>
                </v:shape>
                <o:OLEObject Type="Embed" ProgID="Visio.Drawing.15" ShapeID="_x0000_i1025" DrawAspect="Content" ObjectID="_1468075725" r:id="rId13">
                  <o:LockedField>false</o:LockedField>
                </o:OLEObject>
              </w:object>
            </w:r>
          </w:p>
          <w:p>
            <w:pPr>
              <w:pStyle w:val="78"/>
              <w:widowControl w:val="0"/>
              <w:spacing w:after="0" w:line="500" w:lineRule="exact"/>
              <w:ind w:firstLine="0" w:firstLineChars="0"/>
              <w:jc w:val="center"/>
              <w:rPr>
                <w:rFonts w:hint="default" w:ascii="Times New Roman" w:hAnsi="Times New Roman" w:eastAsia="宋体" w:cs="Times New Roman"/>
                <w:b/>
                <w:snapToGrid w:val="0"/>
                <w:color w:val="auto"/>
                <w:sz w:val="24"/>
                <w:szCs w:val="24"/>
                <w:highlight w:val="none"/>
                <w:lang w:val="en-US" w:eastAsia="zh-CN"/>
              </w:rPr>
            </w:pPr>
            <w:r>
              <w:rPr>
                <w:rFonts w:hint="default" w:ascii="Times New Roman" w:hAnsi="Times New Roman" w:eastAsia="宋体" w:cs="Times New Roman"/>
                <w:b/>
                <w:snapToGrid w:val="0"/>
                <w:color w:val="auto"/>
                <w:sz w:val="24"/>
                <w:szCs w:val="24"/>
                <w:highlight w:val="none"/>
              </w:rPr>
              <w:t>图2-</w:t>
            </w:r>
            <w:r>
              <w:rPr>
                <w:rFonts w:hint="eastAsia" w:ascii="Times New Roman" w:hAnsi="Times New Roman" w:eastAsia="宋体" w:cs="Times New Roman"/>
                <w:b/>
                <w:snapToGrid w:val="0"/>
                <w:color w:val="auto"/>
                <w:sz w:val="24"/>
                <w:szCs w:val="24"/>
                <w:highlight w:val="none"/>
                <w:lang w:val="en-US" w:eastAsia="zh-CN"/>
              </w:rPr>
              <w:t>1</w:t>
            </w:r>
            <w:r>
              <w:rPr>
                <w:rFonts w:hint="default" w:ascii="Times New Roman" w:hAnsi="Times New Roman" w:eastAsia="宋体" w:cs="Times New Roman"/>
                <w:b/>
                <w:snapToGrid w:val="0"/>
                <w:color w:val="auto"/>
                <w:sz w:val="24"/>
                <w:szCs w:val="24"/>
                <w:highlight w:val="none"/>
                <w:lang w:val="en-US" w:eastAsia="zh-CN"/>
              </w:rPr>
              <w:t xml:space="preserve">   </w:t>
            </w:r>
            <w:r>
              <w:rPr>
                <w:rFonts w:hint="eastAsia" w:ascii="Times New Roman" w:hAnsi="Times New Roman" w:eastAsia="宋体" w:cs="Times New Roman"/>
                <w:b/>
                <w:snapToGrid w:val="0"/>
                <w:color w:val="auto"/>
                <w:sz w:val="24"/>
                <w:szCs w:val="24"/>
                <w:highlight w:val="none"/>
                <w:lang w:val="en-US" w:eastAsia="zh-CN"/>
              </w:rPr>
              <w:t>强化轨体</w:t>
            </w:r>
            <w:r>
              <w:rPr>
                <w:rFonts w:hint="default" w:ascii="Times New Roman" w:hAnsi="Times New Roman" w:eastAsia="宋体" w:cs="Times New Roman"/>
                <w:b/>
                <w:snapToGrid w:val="0"/>
                <w:color w:val="auto"/>
                <w:sz w:val="24"/>
                <w:szCs w:val="24"/>
                <w:highlight w:val="none"/>
                <w:lang w:val="en-US" w:eastAsia="zh-CN"/>
              </w:rPr>
              <w:t>工艺流程图</w:t>
            </w:r>
          </w:p>
          <w:p>
            <w:pPr>
              <w:pStyle w:val="78"/>
              <w:keepNext w:val="0"/>
              <w:keepLines w:val="0"/>
              <w:pageBreakBefore w:val="0"/>
              <w:widowControl w:val="0"/>
              <w:kinsoku/>
              <w:wordWrap/>
              <w:overflowPunct/>
              <w:topLinePunct w:val="0"/>
              <w:autoSpaceDE/>
              <w:autoSpaceDN/>
              <w:bidi w:val="0"/>
              <w:adjustRightInd w:val="0"/>
              <w:snapToGrid w:val="0"/>
              <w:spacing w:after="0" w:line="460" w:lineRule="exact"/>
              <w:ind w:firstLine="482" w:firstLineChars="200"/>
              <w:jc w:val="left"/>
              <w:textAlignment w:val="auto"/>
              <w:rPr>
                <w:rFonts w:hint="default" w:ascii="Times New Roman" w:hAnsi="Times New Roman" w:eastAsia="宋体" w:cs="Times New Roman"/>
                <w:b/>
                <w:snapToGrid w:val="0"/>
                <w:color w:val="auto"/>
                <w:sz w:val="24"/>
                <w:szCs w:val="24"/>
                <w:highlight w:val="none"/>
                <w:lang w:val="en-US" w:eastAsia="zh-CN"/>
              </w:rPr>
            </w:pPr>
            <w:r>
              <w:rPr>
                <w:rFonts w:hint="default" w:ascii="Times New Roman" w:hAnsi="Times New Roman" w:eastAsia="宋体" w:cs="Times New Roman"/>
                <w:b/>
                <w:snapToGrid w:val="0"/>
                <w:color w:val="auto"/>
                <w:sz w:val="24"/>
                <w:szCs w:val="24"/>
                <w:highlight w:val="none"/>
                <w:lang w:val="en-US" w:eastAsia="zh-CN"/>
              </w:rPr>
              <w:t>工艺说明：</w:t>
            </w:r>
          </w:p>
          <w:p>
            <w:pPr>
              <w:pStyle w:val="78"/>
              <w:keepNext w:val="0"/>
              <w:keepLines w:val="0"/>
              <w:pageBreakBefore w:val="0"/>
              <w:widowControl w:val="0"/>
              <w:kinsoku/>
              <w:wordWrap/>
              <w:overflowPunct/>
              <w:topLinePunct w:val="0"/>
              <w:autoSpaceDE/>
              <w:autoSpaceDN/>
              <w:bidi w:val="0"/>
              <w:adjustRightInd w:val="0"/>
              <w:snapToGrid w:val="0"/>
              <w:spacing w:after="0" w:line="460" w:lineRule="exact"/>
              <w:ind w:firstLine="482" w:firstLineChars="0"/>
              <w:jc w:val="left"/>
              <w:textAlignment w:val="auto"/>
              <w:rPr>
                <w:rFonts w:hint="eastAsia" w:ascii="Times New Roman" w:hAnsi="Times New Roman" w:eastAsia="宋体"/>
                <w:bCs/>
                <w:snapToGrid w:val="0"/>
                <w:color w:val="auto"/>
                <w:sz w:val="24"/>
                <w:szCs w:val="24"/>
                <w:highlight w:val="none"/>
                <w:lang w:val="en-US" w:eastAsia="zh-CN"/>
              </w:rPr>
            </w:pPr>
            <w:r>
              <w:rPr>
                <w:rFonts w:hint="eastAsia" w:ascii="Times New Roman" w:hAnsi="Times New Roman" w:eastAsia="宋体" w:cs="Times New Roman"/>
                <w:b/>
                <w:bCs w:val="0"/>
                <w:snapToGrid w:val="0"/>
                <w:color w:val="auto"/>
                <w:sz w:val="24"/>
                <w:szCs w:val="24"/>
                <w:highlight w:val="none"/>
                <w:lang w:val="en-US" w:eastAsia="zh-CN"/>
              </w:rPr>
              <w:t>打印二维码</w:t>
            </w:r>
            <w:r>
              <w:rPr>
                <w:rFonts w:hint="default" w:ascii="Times New Roman" w:hAnsi="Times New Roman" w:eastAsia="宋体" w:cs="Times New Roman"/>
                <w:b/>
                <w:bCs w:val="0"/>
                <w:snapToGrid w:val="0"/>
                <w:color w:val="auto"/>
                <w:sz w:val="24"/>
                <w:szCs w:val="24"/>
                <w:highlight w:val="none"/>
                <w:lang w:val="en-US" w:eastAsia="zh-CN"/>
              </w:rPr>
              <w:t>：</w:t>
            </w:r>
            <w:r>
              <w:rPr>
                <w:rFonts w:hint="default" w:ascii="Times New Roman" w:hAnsi="Times New Roman" w:eastAsia="宋体" w:cs="Times New Roman"/>
                <w:b w:val="0"/>
                <w:bCs/>
                <w:snapToGrid w:val="0"/>
                <w:color w:val="auto"/>
                <w:sz w:val="24"/>
                <w:szCs w:val="24"/>
                <w:highlight w:val="none"/>
                <w:lang w:val="en-US" w:eastAsia="zh-CN"/>
              </w:rPr>
              <w:t>员工从下料口取轨，并将轨体放进</w:t>
            </w:r>
            <w:r>
              <w:rPr>
                <w:rFonts w:hint="eastAsia" w:ascii="Times New Roman" w:hAnsi="Times New Roman" w:eastAsia="宋体" w:cs="Times New Roman"/>
                <w:b w:val="0"/>
                <w:bCs/>
                <w:snapToGrid w:val="0"/>
                <w:color w:val="auto"/>
                <w:sz w:val="24"/>
                <w:szCs w:val="24"/>
                <w:highlight w:val="none"/>
                <w:lang w:val="en-US" w:eastAsia="zh-CN"/>
              </w:rPr>
              <w:t>打标设备</w:t>
            </w:r>
            <w:r>
              <w:rPr>
                <w:rFonts w:hint="default" w:ascii="Times New Roman" w:hAnsi="Times New Roman" w:eastAsia="宋体" w:cs="Times New Roman"/>
                <w:b w:val="0"/>
                <w:bCs/>
                <w:snapToGrid w:val="0"/>
                <w:color w:val="auto"/>
                <w:sz w:val="24"/>
                <w:szCs w:val="24"/>
                <w:highlight w:val="none"/>
                <w:lang w:val="en-US" w:eastAsia="zh-CN"/>
              </w:rPr>
              <w:t>的夹具中，设备在轨体表面进行</w:t>
            </w:r>
            <w:r>
              <w:rPr>
                <w:rFonts w:hint="eastAsia" w:ascii="Times New Roman" w:hAnsi="Times New Roman" w:eastAsia="宋体" w:cs="Times New Roman"/>
                <w:b w:val="0"/>
                <w:bCs/>
                <w:snapToGrid w:val="0"/>
                <w:color w:val="auto"/>
                <w:sz w:val="24"/>
                <w:szCs w:val="24"/>
                <w:highlight w:val="none"/>
                <w:lang w:val="en-US" w:eastAsia="zh-CN"/>
              </w:rPr>
              <w:t>针点打标</w:t>
            </w:r>
            <w:r>
              <w:rPr>
                <w:rFonts w:hint="default" w:ascii="Times New Roman" w:hAnsi="Times New Roman" w:eastAsia="宋体" w:cs="Times New Roman"/>
                <w:b w:val="0"/>
                <w:bCs/>
                <w:snapToGrid w:val="0"/>
                <w:color w:val="auto"/>
                <w:sz w:val="24"/>
                <w:szCs w:val="24"/>
                <w:highlight w:val="none"/>
                <w:lang w:val="en-US" w:eastAsia="zh-CN"/>
              </w:rPr>
              <w:t>。</w:t>
            </w:r>
            <w:r>
              <w:rPr>
                <w:rFonts w:hint="eastAsia" w:ascii="Times New Roman" w:hAnsi="Times New Roman" w:eastAsia="宋体" w:cs="Times New Roman"/>
                <w:b w:val="0"/>
                <w:bCs/>
                <w:snapToGrid w:val="0"/>
                <w:color w:val="auto"/>
                <w:sz w:val="24"/>
                <w:szCs w:val="24"/>
                <w:highlight w:val="none"/>
                <w:lang w:val="en-US" w:eastAsia="zh-CN"/>
              </w:rPr>
              <w:t>打标设备中的</w:t>
            </w:r>
            <w:r>
              <w:rPr>
                <w:rFonts w:hint="eastAsia" w:ascii="Times New Roman" w:hAnsi="Times New Roman" w:eastAsia="宋体"/>
                <w:bCs/>
                <w:snapToGrid w:val="0"/>
                <w:color w:val="auto"/>
                <w:sz w:val="24"/>
                <w:szCs w:val="24"/>
                <w:highlight w:val="none"/>
              </w:rPr>
              <w:t>点针打标依靠电磁力将硬质合金或金刚石针头冲击在零部件表面，</w:t>
            </w:r>
            <w:r>
              <w:rPr>
                <w:rFonts w:hint="eastAsia" w:ascii="Times New Roman" w:hAnsi="Times New Roman" w:eastAsia="宋体"/>
                <w:bCs/>
                <w:snapToGrid w:val="0"/>
                <w:color w:val="auto"/>
                <w:sz w:val="24"/>
                <w:szCs w:val="24"/>
                <w:highlight w:val="none"/>
                <w:lang w:val="en-US" w:eastAsia="zh-CN"/>
              </w:rPr>
              <w:t>形成深度为0.1mm左右的点，</w:t>
            </w:r>
            <w:r>
              <w:rPr>
                <w:rFonts w:hint="eastAsia" w:ascii="Times New Roman" w:hAnsi="Times New Roman" w:eastAsia="宋体"/>
                <w:bCs/>
                <w:snapToGrid w:val="0"/>
                <w:color w:val="auto"/>
                <w:sz w:val="24"/>
                <w:szCs w:val="24"/>
                <w:highlight w:val="none"/>
              </w:rPr>
              <w:t>连续冲击出的点形成</w:t>
            </w:r>
            <w:r>
              <w:rPr>
                <w:rFonts w:hint="eastAsia" w:ascii="Times New Roman" w:hAnsi="Times New Roman" w:eastAsia="宋体"/>
                <w:bCs/>
                <w:snapToGrid w:val="0"/>
                <w:color w:val="auto"/>
                <w:sz w:val="24"/>
                <w:szCs w:val="24"/>
                <w:highlight w:val="none"/>
                <w:lang w:val="en-US" w:eastAsia="zh-CN"/>
              </w:rPr>
              <w:t>二维码。该工序无污染物产生。</w:t>
            </w:r>
          </w:p>
          <w:p>
            <w:pPr>
              <w:pStyle w:val="78"/>
              <w:widowControl w:val="0"/>
              <w:adjustRightInd w:val="0"/>
              <w:spacing w:after="0" w:line="460" w:lineRule="exact"/>
              <w:ind w:firstLine="482"/>
              <w:jc w:val="left"/>
              <w:rPr>
                <w:rFonts w:hint="default"/>
                <w:color w:val="auto"/>
              </w:rPr>
            </w:pPr>
            <w:r>
              <w:rPr>
                <w:rFonts w:hint="default" w:ascii="Times New Roman" w:hAnsi="Times New Roman" w:eastAsia="宋体" w:cs="Times New Roman"/>
                <w:b/>
                <w:bCs w:val="0"/>
                <w:snapToGrid w:val="0"/>
                <w:color w:val="auto"/>
                <w:sz w:val="24"/>
                <w:szCs w:val="24"/>
                <w:highlight w:val="none"/>
                <w:lang w:val="en-US" w:eastAsia="zh-CN"/>
              </w:rPr>
              <w:t>电化学加工</w:t>
            </w:r>
            <w:r>
              <w:rPr>
                <w:rFonts w:hint="eastAsia" w:ascii="Times New Roman" w:hAnsi="Times New Roman" w:eastAsia="宋体" w:cs="Times New Roman"/>
                <w:b/>
                <w:bCs w:val="0"/>
                <w:snapToGrid w:val="0"/>
                <w:color w:val="auto"/>
                <w:sz w:val="24"/>
                <w:szCs w:val="24"/>
                <w:highlight w:val="none"/>
                <w:lang w:val="en-US" w:eastAsia="zh-CN"/>
              </w:rPr>
              <w:t>去毛刺和倒角</w:t>
            </w:r>
            <w:r>
              <w:rPr>
                <w:rFonts w:hint="default" w:ascii="Times New Roman" w:hAnsi="Times New Roman" w:eastAsia="宋体" w:cs="Times New Roman"/>
                <w:b/>
                <w:bCs w:val="0"/>
                <w:snapToGrid w:val="0"/>
                <w:color w:val="auto"/>
                <w:sz w:val="24"/>
                <w:szCs w:val="24"/>
                <w:highlight w:val="none"/>
                <w:lang w:val="en-US" w:eastAsia="zh-CN"/>
              </w:rPr>
              <w:t>：</w:t>
            </w:r>
            <w:r>
              <w:rPr>
                <w:rFonts w:hint="default" w:ascii="Times New Roman" w:hAnsi="Times New Roman" w:eastAsia="宋体" w:cs="Times New Roman"/>
                <w:b w:val="0"/>
                <w:bCs/>
                <w:snapToGrid w:val="0"/>
                <w:color w:val="auto"/>
                <w:sz w:val="24"/>
                <w:szCs w:val="24"/>
                <w:highlight w:val="none"/>
                <w:lang w:val="en-US" w:eastAsia="zh-CN"/>
              </w:rPr>
              <w:t>将轨体由机器人投入电化学加工设备的夹具中，然后通过电化学加工将交叉孔的毛刺去除</w:t>
            </w:r>
            <w:r>
              <w:rPr>
                <w:rFonts w:hint="eastAsia" w:ascii="Times New Roman" w:hAnsi="Times New Roman" w:eastAsia="宋体" w:cs="Times New Roman"/>
                <w:b w:val="0"/>
                <w:bCs/>
                <w:snapToGrid w:val="0"/>
                <w:color w:val="auto"/>
                <w:sz w:val="24"/>
                <w:szCs w:val="24"/>
                <w:highlight w:val="none"/>
                <w:lang w:val="en-US" w:eastAsia="zh-CN"/>
              </w:rPr>
              <w:t>、</w:t>
            </w:r>
            <w:r>
              <w:rPr>
                <w:rFonts w:hint="default" w:ascii="Times New Roman" w:hAnsi="Times New Roman" w:eastAsia="宋体" w:cs="Times New Roman"/>
                <w:b w:val="0"/>
                <w:bCs/>
                <w:snapToGrid w:val="0"/>
                <w:color w:val="auto"/>
                <w:sz w:val="24"/>
                <w:szCs w:val="24"/>
                <w:highlight w:val="none"/>
                <w:lang w:val="en-US" w:eastAsia="zh-CN"/>
              </w:rPr>
              <w:t>将孔间锐利交界导圆。加工完成后由机器人</w:t>
            </w:r>
            <w:r>
              <w:rPr>
                <w:rFonts w:hint="eastAsia" w:ascii="Times New Roman" w:hAnsi="Times New Roman" w:eastAsia="宋体" w:cs="Times New Roman"/>
                <w:b w:val="0"/>
                <w:bCs/>
                <w:snapToGrid w:val="0"/>
                <w:color w:val="auto"/>
                <w:sz w:val="24"/>
                <w:szCs w:val="24"/>
                <w:highlight w:val="none"/>
                <w:lang w:val="en-US" w:eastAsia="zh-CN"/>
              </w:rPr>
              <w:t>取出转移至下一个工位</w:t>
            </w:r>
            <w:r>
              <w:rPr>
                <w:rFonts w:hint="default" w:ascii="Times New Roman" w:hAnsi="Times New Roman" w:eastAsia="宋体" w:cs="Times New Roman"/>
                <w:b w:val="0"/>
                <w:bCs/>
                <w:snapToGrid w:val="0"/>
                <w:color w:val="auto"/>
                <w:sz w:val="24"/>
                <w:szCs w:val="24"/>
                <w:highlight w:val="none"/>
                <w:lang w:val="en-US" w:eastAsia="zh-CN"/>
              </w:rPr>
              <w:t>，等待清洗。</w:t>
            </w:r>
            <w:r>
              <w:rPr>
                <w:rFonts w:hint="eastAsia" w:ascii="Times New Roman" w:hAnsi="Times New Roman" w:eastAsia="宋体" w:cs="Times New Roman"/>
                <w:b w:val="0"/>
                <w:bCs/>
                <w:snapToGrid w:val="0"/>
                <w:color w:val="auto"/>
                <w:sz w:val="24"/>
                <w:szCs w:val="24"/>
                <w:highlight w:val="none"/>
                <w:lang w:val="en-US" w:eastAsia="zh-CN"/>
              </w:rPr>
              <w:t>电化学加工的工艺原理是电解腐蚀，</w:t>
            </w:r>
            <w:r>
              <w:rPr>
                <w:rFonts w:hint="default" w:ascii="Times New Roman" w:hAnsi="Times New Roman" w:eastAsia="宋体" w:cs="Times New Roman"/>
                <w:b w:val="0"/>
                <w:bCs/>
                <w:snapToGrid w:val="0"/>
                <w:color w:val="auto"/>
                <w:sz w:val="24"/>
                <w:szCs w:val="24"/>
                <w:highlight w:val="none"/>
                <w:lang w:val="en-US" w:eastAsia="zh-CN"/>
              </w:rPr>
              <w:t>使用</w:t>
            </w:r>
            <w:r>
              <w:rPr>
                <w:rFonts w:hint="eastAsia" w:ascii="Times New Roman" w:hAnsi="Times New Roman" w:eastAsia="宋体" w:cs="Times New Roman"/>
                <w:b w:val="0"/>
                <w:bCs/>
                <w:snapToGrid w:val="0"/>
                <w:color w:val="auto"/>
                <w:sz w:val="24"/>
                <w:szCs w:val="24"/>
                <w:highlight w:val="none"/>
                <w:lang w:val="en-US" w:eastAsia="zh-CN"/>
              </w:rPr>
              <w:t>的</w:t>
            </w:r>
            <w:r>
              <w:rPr>
                <w:rFonts w:hint="default" w:ascii="Times New Roman" w:hAnsi="Times New Roman" w:eastAsia="宋体" w:cs="Times New Roman"/>
                <w:b w:val="0"/>
                <w:bCs/>
                <w:snapToGrid w:val="0"/>
                <w:color w:val="auto"/>
                <w:sz w:val="24"/>
                <w:szCs w:val="24"/>
                <w:highlight w:val="none"/>
                <w:lang w:val="en-US" w:eastAsia="zh-CN"/>
              </w:rPr>
              <w:t>电解液为硝酸钠溶液（22%）</w:t>
            </w:r>
            <w:r>
              <w:rPr>
                <w:rFonts w:hint="eastAsia" w:ascii="Times New Roman" w:hAnsi="Times New Roman" w:eastAsia="宋体" w:cs="Times New Roman"/>
                <w:b w:val="0"/>
                <w:bCs/>
                <w:snapToGrid w:val="0"/>
                <w:color w:val="auto"/>
                <w:sz w:val="24"/>
                <w:szCs w:val="24"/>
                <w:highlight w:val="none"/>
                <w:lang w:val="en-US" w:eastAsia="zh-CN"/>
              </w:rPr>
              <w:t>，</w:t>
            </w:r>
            <w:r>
              <w:rPr>
                <w:rFonts w:hint="default" w:ascii="Times New Roman" w:hAnsi="Times New Roman" w:eastAsia="宋体" w:cs="Times New Roman"/>
                <w:b w:val="0"/>
                <w:bCs/>
                <w:snapToGrid w:val="0"/>
                <w:color w:val="auto"/>
                <w:sz w:val="24"/>
                <w:szCs w:val="24"/>
                <w:highlight w:val="none"/>
                <w:lang w:val="en-US" w:eastAsia="zh-CN"/>
              </w:rPr>
              <w:t>将轨体浸泡在中性溶液槽中以防止轨体快速生锈，并添加少量的</w:t>
            </w:r>
            <w:r>
              <w:rPr>
                <w:rFonts w:hint="eastAsia" w:ascii="Times New Roman" w:hAnsi="Times New Roman" w:eastAsia="宋体" w:cs="Times New Roman"/>
                <w:b w:val="0"/>
                <w:bCs/>
                <w:snapToGrid w:val="0"/>
                <w:color w:val="auto"/>
                <w:sz w:val="24"/>
                <w:szCs w:val="24"/>
                <w:highlight w:val="none"/>
                <w:lang w:val="en-US" w:eastAsia="zh-CN"/>
              </w:rPr>
              <w:t>稀</w:t>
            </w:r>
            <w:r>
              <w:rPr>
                <w:rFonts w:hint="default" w:ascii="Times New Roman" w:hAnsi="Times New Roman" w:eastAsia="宋体" w:cs="Times New Roman"/>
                <w:b w:val="0"/>
                <w:bCs/>
                <w:snapToGrid w:val="0"/>
                <w:color w:val="auto"/>
                <w:sz w:val="24"/>
                <w:szCs w:val="24"/>
                <w:highlight w:val="none"/>
                <w:lang w:val="en-US" w:eastAsia="zh-CN"/>
              </w:rPr>
              <w:t>硝酸调节PH值。</w:t>
            </w:r>
          </w:p>
          <w:p>
            <w:pPr>
              <w:pStyle w:val="78"/>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eastAsia="宋体" w:cs="Times New Roman"/>
                <w:b w:val="0"/>
                <w:bCs/>
                <w:snapToGrid w:val="0"/>
                <w:color w:val="auto"/>
                <w:sz w:val="24"/>
                <w:szCs w:val="24"/>
                <w:highlight w:val="none"/>
                <w:lang w:val="en-US" w:eastAsia="zh-CN"/>
              </w:rPr>
            </w:pPr>
            <w:r>
              <w:rPr>
                <w:rFonts w:hint="eastAsia" w:ascii="宋体" w:hAnsi="宋体" w:eastAsia="宋体" w:cs="宋体"/>
                <w:b w:val="0"/>
                <w:bCs/>
                <w:snapToGrid w:val="0"/>
                <w:color w:val="auto"/>
                <w:sz w:val="24"/>
                <w:szCs w:val="24"/>
                <w:highlight w:val="none"/>
                <w:lang w:val="en-US" w:eastAsia="zh-CN"/>
              </w:rPr>
              <w:t>※</w:t>
            </w:r>
            <w:r>
              <w:rPr>
                <w:rFonts w:hint="default" w:ascii="Times New Roman" w:hAnsi="Times New Roman" w:eastAsia="宋体" w:cs="Times New Roman"/>
                <w:b/>
                <w:bCs w:val="0"/>
                <w:snapToGrid w:val="0"/>
                <w:color w:val="auto"/>
                <w:sz w:val="24"/>
                <w:szCs w:val="24"/>
                <w:highlight w:val="none"/>
                <w:lang w:val="en-US" w:eastAsia="zh-CN"/>
              </w:rPr>
              <w:t>电化学</w:t>
            </w:r>
            <w:r>
              <w:rPr>
                <w:rFonts w:hint="eastAsia" w:ascii="Times New Roman" w:hAnsi="Times New Roman" w:eastAsia="宋体" w:cs="Times New Roman"/>
                <w:b/>
                <w:bCs w:val="0"/>
                <w:snapToGrid w:val="0"/>
                <w:color w:val="auto"/>
                <w:sz w:val="24"/>
                <w:szCs w:val="24"/>
                <w:highlight w:val="none"/>
                <w:lang w:val="en-US" w:eastAsia="zh-CN"/>
              </w:rPr>
              <w:t>加工说明：</w:t>
            </w:r>
            <w:r>
              <w:rPr>
                <w:rFonts w:hint="eastAsia" w:ascii="Times New Roman" w:hAnsi="Times New Roman" w:eastAsia="宋体"/>
                <w:bCs/>
                <w:snapToGrid w:val="0"/>
                <w:color w:val="auto"/>
                <w:sz w:val="24"/>
                <w:szCs w:val="24"/>
                <w:highlight w:val="none"/>
              </w:rPr>
              <w:t>本项目</w:t>
            </w:r>
            <w:r>
              <w:rPr>
                <w:rFonts w:hint="eastAsia" w:ascii="Times New Roman" w:hAnsi="Times New Roman" w:eastAsia="宋体"/>
                <w:bCs/>
                <w:snapToGrid w:val="0"/>
                <w:color w:val="auto"/>
                <w:sz w:val="24"/>
                <w:szCs w:val="24"/>
                <w:highlight w:val="none"/>
                <w:lang w:val="en-US" w:eastAsia="zh-CN"/>
              </w:rPr>
              <w:t>电解加工液（22%的硝酸钠溶液）存放在循环储液箱内，采用密闭管道输送至电解加工设备的加工室内，细管直接投加到轨体的交叉孔等部位按照设定好的程序加工。加工完毕后加工液回流到循环储液箱旁的过滤设备，经过滤后回流至循环储液箱内重复使用。由于加工过程中电解反应的发生，循环使用的电解加工液的pH会升高，为了将加工液的pH控制在7-8的范围内，向循环储液箱内添加少量硝酸。</w:t>
            </w:r>
            <w:r>
              <w:rPr>
                <w:rFonts w:hint="eastAsia" w:ascii="Times New Roman" w:hAnsi="Times New Roman" w:eastAsia="宋体"/>
                <w:bCs/>
                <w:snapToGrid w:val="0"/>
                <w:color w:val="auto"/>
                <w:sz w:val="24"/>
                <w:szCs w:val="24"/>
                <w:highlight w:val="none"/>
              </w:rPr>
              <w:t>使用到的硝酸储存在密闭的桶中，</w:t>
            </w:r>
            <w:r>
              <w:rPr>
                <w:rFonts w:hint="eastAsia" w:ascii="Times New Roman" w:hAnsi="Times New Roman" w:eastAsia="宋体"/>
                <w:bCs/>
                <w:snapToGrid w:val="0"/>
                <w:color w:val="auto"/>
                <w:sz w:val="24"/>
                <w:szCs w:val="24"/>
                <w:highlight w:val="none"/>
                <w:lang w:val="en-US" w:eastAsia="zh-CN"/>
              </w:rPr>
              <w:t>用</w:t>
            </w:r>
            <w:r>
              <w:rPr>
                <w:rFonts w:hint="eastAsia" w:ascii="Times New Roman" w:hAnsi="Times New Roman" w:eastAsia="宋体"/>
                <w:bCs/>
                <w:snapToGrid w:val="0"/>
                <w:color w:val="auto"/>
                <w:sz w:val="24"/>
                <w:szCs w:val="24"/>
                <w:highlight w:val="none"/>
              </w:rPr>
              <w:t>一根软管</w:t>
            </w:r>
            <w:r>
              <w:rPr>
                <w:rFonts w:hint="eastAsia" w:ascii="Times New Roman" w:hAnsi="Times New Roman" w:eastAsia="宋体"/>
                <w:bCs/>
                <w:snapToGrid w:val="0"/>
                <w:color w:val="auto"/>
                <w:sz w:val="24"/>
                <w:szCs w:val="24"/>
                <w:highlight w:val="none"/>
                <w:lang w:val="en-US" w:eastAsia="zh-CN"/>
              </w:rPr>
              <w:t>抽动</w:t>
            </w:r>
            <w:r>
              <w:rPr>
                <w:rFonts w:hint="eastAsia" w:ascii="Times New Roman" w:hAnsi="Times New Roman" w:eastAsia="宋体"/>
                <w:bCs/>
                <w:snapToGrid w:val="0"/>
                <w:color w:val="auto"/>
                <w:sz w:val="24"/>
                <w:szCs w:val="24"/>
                <w:highlight w:val="none"/>
              </w:rPr>
              <w:t>添加至</w:t>
            </w:r>
            <w:r>
              <w:rPr>
                <w:rFonts w:hint="eastAsia" w:ascii="Times New Roman" w:hAnsi="Times New Roman" w:eastAsia="宋体"/>
                <w:bCs/>
                <w:snapToGrid w:val="0"/>
                <w:color w:val="auto"/>
                <w:sz w:val="24"/>
                <w:szCs w:val="24"/>
                <w:highlight w:val="none"/>
                <w:lang w:val="en-US" w:eastAsia="zh-CN"/>
              </w:rPr>
              <w:t>循环储液箱内</w:t>
            </w:r>
            <w:r>
              <w:rPr>
                <w:rFonts w:hint="eastAsia" w:ascii="Times New Roman" w:hAnsi="Times New Roman" w:eastAsia="宋体"/>
                <w:bCs/>
                <w:snapToGrid w:val="0"/>
                <w:color w:val="auto"/>
                <w:sz w:val="24"/>
                <w:szCs w:val="24"/>
                <w:highlight w:val="none"/>
              </w:rPr>
              <w:t>，添加</w:t>
            </w:r>
            <w:r>
              <w:rPr>
                <w:rFonts w:hint="eastAsia" w:ascii="Times New Roman" w:hAnsi="Times New Roman" w:eastAsia="宋体"/>
                <w:bCs/>
                <w:snapToGrid w:val="0"/>
                <w:color w:val="auto"/>
                <w:sz w:val="24"/>
                <w:szCs w:val="24"/>
                <w:highlight w:val="none"/>
                <w:lang w:val="en-US" w:eastAsia="zh-CN"/>
              </w:rPr>
              <w:t>泵</w:t>
            </w:r>
            <w:r>
              <w:rPr>
                <w:rFonts w:hint="eastAsia" w:ascii="Times New Roman" w:hAnsi="Times New Roman" w:eastAsia="宋体"/>
                <w:bCs/>
                <w:snapToGrid w:val="0"/>
                <w:color w:val="auto"/>
                <w:sz w:val="24"/>
                <w:szCs w:val="24"/>
                <w:highlight w:val="none"/>
              </w:rPr>
              <w:t>由pH调节仪自动控制。</w:t>
            </w:r>
            <w:r>
              <w:rPr>
                <w:rFonts w:hint="eastAsia" w:ascii="Times New Roman" w:hAnsi="Times New Roman" w:eastAsia="宋体" w:cs="Times New Roman"/>
                <w:b w:val="0"/>
                <w:bCs/>
                <w:snapToGrid w:val="0"/>
                <w:color w:val="auto"/>
                <w:sz w:val="24"/>
                <w:szCs w:val="24"/>
                <w:highlight w:val="none"/>
                <w:lang w:val="en-US" w:eastAsia="zh-CN"/>
              </w:rPr>
              <w:t>该工序稀硝酸桶和软管、储液箱及加工液输送管道等全部密闭，且少量稀硝酸直接添加在储液箱内的液位下，因此不产生硝酸雾。仅硝酸原料使用完后，更换时会有极少量硝酸雾产生，可忽略不计。</w:t>
            </w:r>
          </w:p>
          <w:p>
            <w:pPr>
              <w:pStyle w:val="78"/>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eastAsia="宋体" w:cs="Times New Roman"/>
                <w:b w:val="0"/>
                <w:bCs/>
                <w:snapToGrid w:val="0"/>
                <w:color w:val="auto"/>
                <w:sz w:val="24"/>
                <w:szCs w:val="24"/>
                <w:highlight w:val="none"/>
                <w:lang w:val="en-US" w:eastAsia="zh-CN"/>
              </w:rPr>
            </w:pPr>
            <w:r>
              <w:rPr>
                <w:rFonts w:hint="eastAsia" w:ascii="Times New Roman" w:hAnsi="Times New Roman" w:eastAsia="宋体" w:cs="Times New Roman"/>
                <w:b w:val="0"/>
                <w:bCs/>
                <w:snapToGrid w:val="0"/>
                <w:color w:val="auto"/>
                <w:sz w:val="24"/>
                <w:szCs w:val="24"/>
                <w:highlight w:val="none"/>
                <w:lang w:val="en-US" w:eastAsia="zh-CN"/>
              </w:rPr>
              <w:t>该工序会产生废电解液（S</w:t>
            </w:r>
            <w:r>
              <w:rPr>
                <w:rFonts w:hint="eastAsia" w:ascii="Times New Roman" w:hAnsi="Times New Roman" w:eastAsia="宋体" w:cs="Times New Roman"/>
                <w:b w:val="0"/>
                <w:bCs/>
                <w:snapToGrid w:val="0"/>
                <w:color w:val="auto"/>
                <w:sz w:val="24"/>
                <w:szCs w:val="24"/>
                <w:highlight w:val="none"/>
                <w:vertAlign w:val="subscript"/>
                <w:lang w:val="en-US" w:eastAsia="zh-CN"/>
              </w:rPr>
              <w:t>1</w:t>
            </w:r>
            <w:r>
              <w:rPr>
                <w:rFonts w:hint="eastAsia" w:ascii="Times New Roman" w:hAnsi="Times New Roman" w:eastAsia="宋体" w:cs="Times New Roman"/>
                <w:b w:val="0"/>
                <w:bCs/>
                <w:snapToGrid w:val="0"/>
                <w:color w:val="auto"/>
                <w:sz w:val="24"/>
                <w:szCs w:val="24"/>
                <w:highlight w:val="none"/>
                <w:lang w:val="en-US" w:eastAsia="zh-CN"/>
              </w:rPr>
              <w:t>）、废过滤材料（S</w:t>
            </w:r>
            <w:r>
              <w:rPr>
                <w:rFonts w:hint="eastAsia" w:ascii="Times New Roman" w:hAnsi="Times New Roman" w:eastAsia="宋体" w:cs="Times New Roman"/>
                <w:b w:val="0"/>
                <w:bCs/>
                <w:snapToGrid w:val="0"/>
                <w:color w:val="auto"/>
                <w:sz w:val="24"/>
                <w:szCs w:val="24"/>
                <w:highlight w:val="none"/>
                <w:vertAlign w:val="subscript"/>
                <w:lang w:val="en-US" w:eastAsia="zh-CN"/>
              </w:rPr>
              <w:t>6</w:t>
            </w:r>
            <w:r>
              <w:rPr>
                <w:rFonts w:hint="eastAsia" w:ascii="Times New Roman" w:hAnsi="Times New Roman" w:eastAsia="宋体" w:cs="Times New Roman"/>
                <w:b w:val="0"/>
                <w:bCs/>
                <w:snapToGrid w:val="0"/>
                <w:color w:val="auto"/>
                <w:sz w:val="24"/>
                <w:szCs w:val="24"/>
                <w:highlight w:val="none"/>
                <w:lang w:val="en-US" w:eastAsia="zh-CN"/>
              </w:rPr>
              <w:t>）。</w:t>
            </w:r>
          </w:p>
          <w:p>
            <w:pPr>
              <w:pStyle w:val="78"/>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eastAsia="宋体" w:cs="Times New Roman"/>
                <w:b w:val="0"/>
                <w:bCs/>
                <w:snapToGrid w:val="0"/>
                <w:color w:val="auto"/>
                <w:sz w:val="24"/>
                <w:szCs w:val="24"/>
                <w:highlight w:val="none"/>
                <w:lang w:val="en-US" w:eastAsia="zh-CN"/>
              </w:rPr>
            </w:pPr>
            <w:r>
              <w:rPr>
                <w:rFonts w:hint="eastAsia" w:ascii="Times New Roman" w:hAnsi="Times New Roman" w:eastAsia="宋体" w:cs="Times New Roman"/>
                <w:b w:val="0"/>
                <w:bCs/>
                <w:snapToGrid w:val="0"/>
                <w:color w:val="auto"/>
                <w:sz w:val="24"/>
                <w:szCs w:val="24"/>
                <w:highlight w:val="none"/>
                <w:lang w:val="en-US" w:eastAsia="zh-CN"/>
              </w:rPr>
              <w:t>详细情况见下图2-2、2-3。</w:t>
            </w:r>
          </w:p>
          <w:p>
            <w:pPr>
              <w:pStyle w:val="78"/>
              <w:keepNext w:val="0"/>
              <w:keepLines w:val="0"/>
              <w:pageBreakBefore w:val="0"/>
              <w:kinsoku/>
              <w:wordWrap/>
              <w:overflowPunct/>
              <w:topLinePunct w:val="0"/>
              <w:autoSpaceDE/>
              <w:autoSpaceDN/>
              <w:bidi w:val="0"/>
              <w:adjustRightInd w:val="0"/>
              <w:snapToGrid w:val="0"/>
              <w:spacing w:after="0" w:line="240" w:lineRule="auto"/>
              <w:ind w:firstLine="480" w:firstLineChars="200"/>
              <w:textAlignment w:val="auto"/>
              <w:rPr>
                <w:rFonts w:hint="default" w:ascii="Times New Roman" w:hAnsi="Times New Roman" w:eastAsia="宋体" w:cs="Times New Roman"/>
                <w:b w:val="0"/>
                <w:bCs/>
                <w:snapToGrid w:val="0"/>
                <w:color w:val="auto"/>
                <w:sz w:val="24"/>
                <w:szCs w:val="24"/>
                <w:highlight w:val="none"/>
                <w:lang w:val="en-US" w:eastAsia="zh-CN"/>
              </w:rPr>
            </w:pP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3805555</wp:posOffset>
                      </wp:positionH>
                      <wp:positionV relativeFrom="paragraph">
                        <wp:posOffset>1979295</wp:posOffset>
                      </wp:positionV>
                      <wp:extent cx="919480" cy="526415"/>
                      <wp:effectExtent l="12700" t="965835" r="20320" b="12700"/>
                      <wp:wrapNone/>
                      <wp:docPr id="2" name="圆角矩形标注 2"/>
                      <wp:cNvGraphicFramePr/>
                      <a:graphic xmlns:a="http://schemas.openxmlformats.org/drawingml/2006/main">
                        <a:graphicData uri="http://schemas.microsoft.com/office/word/2010/wordprocessingShape">
                          <wps:wsp>
                            <wps:cNvSpPr/>
                            <wps:spPr>
                              <a:xfrm>
                                <a:off x="0" y="0"/>
                                <a:ext cx="919480" cy="526415"/>
                              </a:xfrm>
                              <a:prstGeom prst="wedgeRoundRectCallout">
                                <a:avLst>
                                  <a:gd name="adj1" fmla="val -44337"/>
                                  <a:gd name="adj2" fmla="val -231061"/>
                                  <a:gd name="adj3" fmla="val 16667"/>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eastAsia="宋体"/>
                                      <w:b/>
                                      <w:bCs/>
                                      <w:color w:val="000000" w:themeColor="text1"/>
                                      <w:sz w:val="21"/>
                                      <w:szCs w:val="24"/>
                                      <w:lang w:val="en-US" w:eastAsia="zh-CN"/>
                                      <w14:textFill>
                                        <w14:solidFill>
                                          <w14:schemeClr w14:val="tx1"/>
                                        </w14:solidFill>
                                      </w14:textFill>
                                    </w:rPr>
                                  </w:pPr>
                                  <w:r>
                                    <w:rPr>
                                      <w:rFonts w:hint="eastAsia"/>
                                      <w:b/>
                                      <w:bCs/>
                                      <w:color w:val="000000" w:themeColor="text1"/>
                                      <w:sz w:val="21"/>
                                      <w:szCs w:val="24"/>
                                      <w:lang w:val="en-US" w:eastAsia="zh-CN"/>
                                      <w14:textFill>
                                        <w14:solidFill>
                                          <w14:schemeClr w14:val="tx1"/>
                                        </w14:solidFill>
                                      </w14:textFill>
                                    </w:rPr>
                                    <w:t>pH调节仪</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9.65pt;margin-top:155.85pt;height:41.45pt;width:72.4pt;z-index:251667456;v-text-anchor:middle;mso-width-relative:page;mso-height-relative:page;" fillcolor="#DCE6F2 [660]" filled="t" stroked="t" coordsize="21600,21600" o:gfxdata="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xr2XTdkAAAALAQAADwAAAAAAAAABACAAAAAiAAAAZHJz&#10;L2Rvd25yZXYueG1sUEsBAhQAFAAAAAgAh07iQJwMdO7nAgAA7gUAAA4AAAAAAAAAAQAgAAAAKAEA&#10;AGRycy9lMm9Eb2MueG1sUEsFBgAAAAAGAAYAWQEAAIEGAAAAAA==&#10;" adj="1223,-39109,14400">
                      <v:fill on="t" focussize="0,0"/>
                      <v:stroke weight="2pt" color="#B9CDE5 [1300]" joinstyle="round"/>
                      <v:imagedata o:title=""/>
                      <o:lock v:ext="edit" aspectratio="f"/>
                      <v:textbox>
                        <w:txbxContent>
                          <w:p>
                            <w:pPr>
                              <w:rPr>
                                <w:rFonts w:hint="default" w:eastAsia="宋体"/>
                                <w:b/>
                                <w:bCs/>
                                <w:color w:val="000000" w:themeColor="text1"/>
                                <w:sz w:val="21"/>
                                <w:szCs w:val="24"/>
                                <w:lang w:val="en-US" w:eastAsia="zh-CN"/>
                                <w14:textFill>
                                  <w14:solidFill>
                                    <w14:schemeClr w14:val="tx1"/>
                                  </w14:solidFill>
                                </w14:textFill>
                              </w:rPr>
                            </w:pPr>
                            <w:r>
                              <w:rPr>
                                <w:rFonts w:hint="eastAsia"/>
                                <w:b/>
                                <w:bCs/>
                                <w:color w:val="000000" w:themeColor="text1"/>
                                <w:sz w:val="21"/>
                                <w:szCs w:val="24"/>
                                <w:lang w:val="en-US" w:eastAsia="zh-CN"/>
                                <w14:textFill>
                                  <w14:solidFill>
                                    <w14:schemeClr w14:val="tx1"/>
                                  </w14:solidFill>
                                </w14:textFill>
                              </w:rPr>
                              <w:t>pH调节仪</w:t>
                            </w:r>
                          </w:p>
                        </w:txbxContent>
                      </v:textbox>
                    </v:shape>
                  </w:pict>
                </mc:Fallback>
              </mc:AlternateContent>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1915795</wp:posOffset>
                      </wp:positionH>
                      <wp:positionV relativeFrom="paragraph">
                        <wp:posOffset>2139315</wp:posOffset>
                      </wp:positionV>
                      <wp:extent cx="919480" cy="526415"/>
                      <wp:effectExtent l="728345" t="12700" r="28575" b="13335"/>
                      <wp:wrapNone/>
                      <wp:docPr id="5" name="圆角矩形标注 5"/>
                      <wp:cNvGraphicFramePr/>
                      <a:graphic xmlns:a="http://schemas.openxmlformats.org/drawingml/2006/main">
                        <a:graphicData uri="http://schemas.microsoft.com/office/word/2010/wordprocessingShape">
                          <wps:wsp>
                            <wps:cNvSpPr/>
                            <wps:spPr>
                              <a:xfrm>
                                <a:off x="2383790" y="5775325"/>
                                <a:ext cx="919480" cy="526415"/>
                              </a:xfrm>
                              <a:prstGeom prst="wedgeRoundRectCallout">
                                <a:avLst>
                                  <a:gd name="adj1" fmla="val -127831"/>
                                  <a:gd name="adj2" fmla="val -4161"/>
                                  <a:gd name="adj3" fmla="val 16667"/>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eastAsia="宋体"/>
                                      <w:b/>
                                      <w:bCs/>
                                      <w:color w:val="000000" w:themeColor="text1"/>
                                      <w:sz w:val="21"/>
                                      <w:szCs w:val="24"/>
                                      <w:lang w:val="en-US" w:eastAsia="zh-CN"/>
                                      <w14:textFill>
                                        <w14:solidFill>
                                          <w14:schemeClr w14:val="tx1"/>
                                        </w14:solidFill>
                                      </w14:textFill>
                                    </w:rPr>
                                  </w:pPr>
                                  <w:r>
                                    <w:rPr>
                                      <w:rFonts w:hint="eastAsia"/>
                                      <w:b/>
                                      <w:bCs/>
                                      <w:color w:val="000000" w:themeColor="text1"/>
                                      <w:sz w:val="21"/>
                                      <w:szCs w:val="24"/>
                                      <w:lang w:val="en-US" w:eastAsia="zh-CN"/>
                                      <w14:textFill>
                                        <w14:solidFill>
                                          <w14:schemeClr w14:val="tx1"/>
                                        </w14:solidFill>
                                      </w14:textFill>
                                    </w:rPr>
                                    <w:t>密闭的硝酸容器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0.85pt;margin-top:168.45pt;height:41.45pt;width:72.4pt;z-index:251666432;v-text-anchor:middle;mso-width-relative:page;mso-height-relative:page;" fillcolor="#DCE6F2 [660]" filled="t" stroked="t" coordsize="21600,21600" o:gfxdata="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AdlWhnZAAAACwEAAA8AAAAAAAAAAQAg&#10;AAAAIgAAAGRycy9kb3ducmV2LnhtbFBLAQIUABQAAAAIAIdO4kBRiVs28QIAAPkFAAAOAAAAAAAA&#10;AAEAIAAAACgBAABkcnMvZTJvRG9jLnhtbFBLBQYAAAAABgAGAFkBAACLBgAAAAA=&#10;" adj="-16811,9901,14400">
                      <v:fill on="t" focussize="0,0"/>
                      <v:stroke weight="2pt" color="#B9CDE5 [1300]" joinstyle="round"/>
                      <v:imagedata o:title=""/>
                      <o:lock v:ext="edit" aspectratio="f"/>
                      <v:textbox>
                        <w:txbxContent>
                          <w:p>
                            <w:pPr>
                              <w:rPr>
                                <w:rFonts w:hint="default" w:eastAsia="宋体"/>
                                <w:b/>
                                <w:bCs/>
                                <w:color w:val="000000" w:themeColor="text1"/>
                                <w:sz w:val="21"/>
                                <w:szCs w:val="24"/>
                                <w:lang w:val="en-US" w:eastAsia="zh-CN"/>
                                <w14:textFill>
                                  <w14:solidFill>
                                    <w14:schemeClr w14:val="tx1"/>
                                  </w14:solidFill>
                                </w14:textFill>
                              </w:rPr>
                            </w:pPr>
                            <w:r>
                              <w:rPr>
                                <w:rFonts w:hint="eastAsia"/>
                                <w:b/>
                                <w:bCs/>
                                <w:color w:val="000000" w:themeColor="text1"/>
                                <w:sz w:val="21"/>
                                <w:szCs w:val="24"/>
                                <w:lang w:val="en-US" w:eastAsia="zh-CN"/>
                                <w14:textFill>
                                  <w14:solidFill>
                                    <w14:schemeClr w14:val="tx1"/>
                                  </w14:solidFill>
                                </w14:textFill>
                              </w:rPr>
                              <w:t>密闭的硝酸容器</w:t>
                            </w:r>
                          </w:p>
                        </w:txbxContent>
                      </v:textbox>
                    </v:shape>
                  </w:pict>
                </mc:Fallback>
              </mc:AlternateContent>
            </w:r>
            <w:r>
              <w:rPr>
                <w:rFonts w:hint="eastAsia" w:ascii="Times New Roman" w:hAnsi="Times New Roman" w:eastAsia="宋体" w:cs="Times New Roman"/>
                <w:b w:val="0"/>
                <w:bCs/>
                <w:snapToGrid w:val="0"/>
                <w:color w:val="auto"/>
                <w:sz w:val="24"/>
                <w:szCs w:val="24"/>
                <w:highlight w:val="none"/>
                <w:lang w:val="en-US" w:eastAsia="zh-CN"/>
              </w:rPr>
              <w:t xml:space="preserve">     </w:t>
            </w:r>
            <w:r>
              <w:rPr>
                <w:rFonts w:hint="default" w:ascii="Times New Roman" w:hAnsi="Times New Roman" w:eastAsia="宋体" w:cs="Times New Roman"/>
                <w:b w:val="0"/>
                <w:bCs/>
                <w:snapToGrid w:val="0"/>
                <w:color w:val="auto"/>
                <w:sz w:val="24"/>
                <w:szCs w:val="24"/>
                <w:highlight w:val="none"/>
                <w:lang w:val="en-US" w:eastAsia="zh-CN"/>
              </w:rPr>
              <w:drawing>
                <wp:inline distT="0" distB="0" distL="114300" distR="114300">
                  <wp:extent cx="2134870" cy="2846070"/>
                  <wp:effectExtent l="0" t="0" r="17780" b="11430"/>
                  <wp:docPr id="6" name="图片 6" descr="1a4cbc5e8f830eb86e74f188bfc9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a4cbc5e8f830eb86e74f188bfc980a"/>
                          <pic:cNvPicPr>
                            <a:picLocks noChangeAspect="1"/>
                          </pic:cNvPicPr>
                        </pic:nvPicPr>
                        <pic:blipFill>
                          <a:blip r:embed="rId15"/>
                          <a:stretch>
                            <a:fillRect/>
                          </a:stretch>
                        </pic:blipFill>
                        <pic:spPr>
                          <a:xfrm>
                            <a:off x="0" y="0"/>
                            <a:ext cx="2134870" cy="2846070"/>
                          </a:xfrm>
                          <a:prstGeom prst="rect">
                            <a:avLst/>
                          </a:prstGeom>
                        </pic:spPr>
                      </pic:pic>
                    </a:graphicData>
                  </a:graphic>
                </wp:inline>
              </w:drawing>
            </w:r>
            <w:r>
              <w:rPr>
                <w:rFonts w:hint="default" w:ascii="Times New Roman" w:hAnsi="Times New Roman" w:eastAsia="宋体" w:cs="Times New Roman"/>
                <w:b w:val="0"/>
                <w:bCs/>
                <w:snapToGrid w:val="0"/>
                <w:color w:val="auto"/>
                <w:sz w:val="24"/>
                <w:szCs w:val="24"/>
                <w:highlight w:val="none"/>
                <w:lang w:val="en-US" w:eastAsia="zh-CN"/>
              </w:rPr>
              <w:drawing>
                <wp:inline distT="0" distB="0" distL="114300" distR="114300">
                  <wp:extent cx="2139950" cy="2852420"/>
                  <wp:effectExtent l="0" t="0" r="12700" b="5080"/>
                  <wp:docPr id="14" name="图片 14" descr="486e36a84dfe119e67b1048e0052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86e36a84dfe119e67b1048e005274e"/>
                          <pic:cNvPicPr>
                            <a:picLocks noChangeAspect="1"/>
                          </pic:cNvPicPr>
                        </pic:nvPicPr>
                        <pic:blipFill>
                          <a:blip r:embed="rId16"/>
                          <a:stretch>
                            <a:fillRect/>
                          </a:stretch>
                        </pic:blipFill>
                        <pic:spPr>
                          <a:xfrm>
                            <a:off x="0" y="0"/>
                            <a:ext cx="2139950" cy="2852420"/>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500" w:lineRule="exact"/>
              <w:jc w:val="center"/>
              <w:textAlignment w:val="auto"/>
              <w:rPr>
                <w:rFonts w:hint="eastAsia" w:cs="Times New Roman"/>
                <w:b/>
                <w:snapToGrid w:val="0"/>
                <w:color w:val="auto"/>
                <w:kern w:val="0"/>
                <w:sz w:val="24"/>
                <w:highlight w:val="none"/>
                <w:lang w:val="en-US" w:eastAsia="zh-CN"/>
              </w:rPr>
            </w:pPr>
            <w:r>
              <w:rPr>
                <w:rFonts w:hint="eastAsia" w:cs="Times New Roman"/>
                <w:b/>
                <w:snapToGrid w:val="0"/>
                <w:color w:val="auto"/>
                <w:kern w:val="0"/>
                <w:sz w:val="24"/>
                <w:highlight w:val="none"/>
                <w:lang w:val="en-US" w:eastAsia="zh-CN"/>
              </w:rPr>
              <w:t>图2-2 电化学腐蚀设备图</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b/>
                <w:snapToGrid w:val="0"/>
                <w:color w:val="auto"/>
                <w:kern w:val="0"/>
                <w:sz w:val="24"/>
                <w:highlight w:val="none"/>
                <w:lang w:val="en-US" w:eastAsia="zh-CN"/>
              </w:rPr>
            </w:pPr>
            <w:r>
              <w:rPr>
                <w:rFonts w:hint="default"/>
                <w:color w:val="auto"/>
                <w:lang w:val="en-US" w:eastAsia="zh-CN"/>
              </w:rPr>
              <w:object>
                <v:shape id="_x0000_i1026" o:spt="75" type="#_x0000_t75" style="height:161.8pt;width:414.95pt;" o:ole="t" filled="f" o:preferrelative="t" stroked="f" coordsize="21600,21600">
                  <v:path/>
                  <v:fill on="f" focussize="0,0"/>
                  <v:stroke on="f"/>
                  <v:imagedata r:id="rId18" o:title=""/>
                  <o:lock v:ext="edit" aspectratio="f"/>
                  <w10:wrap type="none"/>
                  <w10:anchorlock/>
                </v:shape>
                <o:OLEObject Type="Embed" ProgID="Visio.Drawing.15" ShapeID="_x0000_i1026" DrawAspect="Content" ObjectID="_1468075726" r:id="rId17">
                  <o:LockedField>false</o:LockedField>
                </o:OLEObject>
              </w:object>
            </w:r>
          </w:p>
          <w:p>
            <w:pPr>
              <w:keepNext w:val="0"/>
              <w:keepLines w:val="0"/>
              <w:pageBreakBefore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snapToGrid w:val="0"/>
                <w:color w:val="auto"/>
                <w:kern w:val="0"/>
                <w:sz w:val="24"/>
                <w:highlight w:val="none"/>
                <w:lang w:val="en-US" w:eastAsia="zh-CN"/>
              </w:rPr>
            </w:pPr>
            <w:r>
              <w:rPr>
                <w:rFonts w:hint="eastAsia" w:cs="Times New Roman"/>
                <w:b/>
                <w:snapToGrid w:val="0"/>
                <w:color w:val="auto"/>
                <w:kern w:val="0"/>
                <w:sz w:val="24"/>
                <w:highlight w:val="none"/>
                <w:lang w:val="en-US" w:eastAsia="zh-CN"/>
              </w:rPr>
              <w:t>图2-3 电化学腐蚀设备工作流程图</w:t>
            </w:r>
          </w:p>
          <w:p>
            <w:pPr>
              <w:pStyle w:val="78"/>
              <w:keepNext w:val="0"/>
              <w:keepLines w:val="0"/>
              <w:pageBreakBefore w:val="0"/>
              <w:widowControl w:val="0"/>
              <w:kinsoku/>
              <w:wordWrap/>
              <w:overflowPunct/>
              <w:topLinePunct w:val="0"/>
              <w:autoSpaceDE/>
              <w:autoSpaceDN/>
              <w:bidi w:val="0"/>
              <w:adjustRightInd w:val="0"/>
              <w:snapToGrid w:val="0"/>
              <w:spacing w:after="0" w:line="500" w:lineRule="exact"/>
              <w:ind w:firstLine="482" w:firstLineChars="0"/>
              <w:jc w:val="left"/>
              <w:textAlignment w:val="auto"/>
              <w:rPr>
                <w:rFonts w:hint="default" w:ascii="Times New Roman" w:hAnsi="Times New Roman" w:eastAsia="宋体" w:cs="Times New Roman"/>
                <w:b w:val="0"/>
                <w:bCs/>
                <w:snapToGrid w:val="0"/>
                <w:color w:val="auto"/>
                <w:sz w:val="24"/>
                <w:szCs w:val="24"/>
                <w:highlight w:val="none"/>
                <w:lang w:val="en-US" w:eastAsia="zh-CN"/>
              </w:rPr>
            </w:pPr>
            <w:r>
              <w:rPr>
                <w:rFonts w:hint="default" w:ascii="Times New Roman" w:hAnsi="Times New Roman" w:eastAsia="宋体" w:cs="Times New Roman"/>
                <w:b/>
                <w:bCs w:val="0"/>
                <w:snapToGrid w:val="0"/>
                <w:color w:val="auto"/>
                <w:sz w:val="24"/>
                <w:szCs w:val="24"/>
                <w:highlight w:val="none"/>
                <w:lang w:val="en-US" w:eastAsia="zh-CN"/>
              </w:rPr>
              <w:t>中和清洗：</w:t>
            </w:r>
            <w:r>
              <w:rPr>
                <w:rFonts w:hint="default" w:ascii="Times New Roman" w:hAnsi="Times New Roman" w:eastAsia="宋体" w:cs="Times New Roman"/>
                <w:b w:val="0"/>
                <w:bCs/>
                <w:snapToGrid w:val="0"/>
                <w:color w:val="auto"/>
                <w:sz w:val="24"/>
                <w:szCs w:val="24"/>
                <w:highlight w:val="none"/>
                <w:lang w:val="en-US" w:eastAsia="zh-CN"/>
              </w:rPr>
              <w:t>机器人将</w:t>
            </w:r>
            <w:r>
              <w:rPr>
                <w:rFonts w:hint="eastAsia" w:ascii="Times New Roman" w:hAnsi="Times New Roman" w:eastAsia="宋体" w:cs="Times New Roman"/>
                <w:b w:val="0"/>
                <w:bCs/>
                <w:snapToGrid w:val="0"/>
                <w:color w:val="auto"/>
                <w:sz w:val="24"/>
                <w:szCs w:val="24"/>
                <w:highlight w:val="none"/>
                <w:lang w:val="en-US" w:eastAsia="zh-CN"/>
              </w:rPr>
              <w:t>电化学加工后的</w:t>
            </w:r>
            <w:r>
              <w:rPr>
                <w:rFonts w:hint="default" w:ascii="Times New Roman" w:hAnsi="Times New Roman" w:eastAsia="宋体" w:cs="Times New Roman"/>
                <w:b w:val="0"/>
                <w:bCs/>
                <w:snapToGrid w:val="0"/>
                <w:color w:val="auto"/>
                <w:sz w:val="24"/>
                <w:szCs w:val="24"/>
                <w:highlight w:val="none"/>
                <w:lang w:val="en-US" w:eastAsia="zh-CN"/>
              </w:rPr>
              <w:t>轨体放入中和清洗机后，使用</w:t>
            </w:r>
            <w:r>
              <w:rPr>
                <w:rFonts w:hint="eastAsia" w:ascii="Times New Roman" w:hAnsi="Times New Roman" w:eastAsia="宋体" w:cs="Times New Roman"/>
                <w:b w:val="0"/>
                <w:bCs/>
                <w:snapToGrid w:val="0"/>
                <w:color w:val="auto"/>
                <w:sz w:val="24"/>
                <w:szCs w:val="24"/>
                <w:highlight w:val="none"/>
                <w:lang w:val="en-US" w:eastAsia="zh-CN"/>
              </w:rPr>
              <w:t>浓度为0.5%~1%清洗剂5088</w:t>
            </w:r>
            <w:r>
              <w:rPr>
                <w:rFonts w:hint="default" w:ascii="Times New Roman" w:hAnsi="Times New Roman" w:eastAsia="宋体" w:cs="Times New Roman"/>
                <w:b w:val="0"/>
                <w:bCs/>
                <w:snapToGrid w:val="0"/>
                <w:color w:val="auto"/>
                <w:sz w:val="24"/>
                <w:szCs w:val="24"/>
                <w:highlight w:val="none"/>
                <w:lang w:val="en-US" w:eastAsia="zh-CN"/>
              </w:rPr>
              <w:t>进行轨体浸泡</w:t>
            </w:r>
            <w:r>
              <w:rPr>
                <w:rFonts w:hint="eastAsia" w:ascii="Times New Roman" w:hAnsi="Times New Roman" w:eastAsia="宋体" w:cs="Times New Roman"/>
                <w:b w:val="0"/>
                <w:bCs/>
                <w:snapToGrid w:val="0"/>
                <w:color w:val="auto"/>
                <w:sz w:val="24"/>
                <w:szCs w:val="24"/>
                <w:highlight w:val="none"/>
                <w:lang w:val="en-US" w:eastAsia="zh-CN"/>
              </w:rPr>
              <w:t>、</w:t>
            </w:r>
            <w:r>
              <w:rPr>
                <w:rFonts w:hint="default" w:ascii="Times New Roman" w:hAnsi="Times New Roman" w:eastAsia="宋体" w:cs="Times New Roman"/>
                <w:b w:val="0"/>
                <w:bCs/>
                <w:snapToGrid w:val="0"/>
                <w:color w:val="auto"/>
                <w:sz w:val="24"/>
                <w:szCs w:val="24"/>
                <w:highlight w:val="none"/>
                <w:lang w:val="en-US" w:eastAsia="zh-CN"/>
              </w:rPr>
              <w:t>喷淋，在55℃（±10℃）的烘干温度下（电加热），将零件上残留的电解液及电解残留物清洗干净。零件清洗完运送至目检台进行内窥镜检查。</w:t>
            </w:r>
            <w:r>
              <w:rPr>
                <w:rFonts w:hint="eastAsia" w:ascii="Times New Roman" w:hAnsi="Times New Roman" w:eastAsia="宋体" w:cs="Times New Roman"/>
                <w:b w:val="0"/>
                <w:bCs/>
                <w:snapToGrid w:val="0"/>
                <w:color w:val="auto"/>
                <w:sz w:val="24"/>
                <w:szCs w:val="24"/>
                <w:highlight w:val="none"/>
                <w:lang w:val="en-US" w:eastAsia="zh-CN"/>
              </w:rPr>
              <w:t>该工序会产生水蒸气和清洗废水（W</w:t>
            </w:r>
            <w:r>
              <w:rPr>
                <w:rFonts w:hint="eastAsia" w:ascii="Times New Roman" w:hAnsi="Times New Roman" w:eastAsia="宋体" w:cs="Times New Roman"/>
                <w:b w:val="0"/>
                <w:bCs/>
                <w:snapToGrid w:val="0"/>
                <w:color w:val="auto"/>
                <w:sz w:val="24"/>
                <w:szCs w:val="24"/>
                <w:highlight w:val="none"/>
                <w:vertAlign w:val="subscript"/>
                <w:lang w:val="en-US" w:eastAsia="zh-CN"/>
              </w:rPr>
              <w:t>1</w:t>
            </w:r>
            <w:r>
              <w:rPr>
                <w:rFonts w:hint="eastAsia" w:ascii="Times New Roman" w:hAnsi="Times New Roman" w:eastAsia="宋体" w:cs="Times New Roman"/>
                <w:b w:val="0"/>
                <w:bCs/>
                <w:snapToGrid w:val="0"/>
                <w:color w:val="auto"/>
                <w:sz w:val="24"/>
                <w:szCs w:val="24"/>
                <w:highlight w:val="none"/>
                <w:lang w:val="en-US" w:eastAsia="zh-CN"/>
              </w:rPr>
              <w:t>）。</w:t>
            </w:r>
          </w:p>
          <w:p>
            <w:pPr>
              <w:pStyle w:val="78"/>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textAlignment w:val="auto"/>
              <w:rPr>
                <w:rFonts w:hint="default" w:ascii="Times New Roman" w:hAnsi="Times New Roman" w:eastAsia="宋体" w:cs="Times New Roman"/>
                <w:b w:val="0"/>
                <w:bCs/>
                <w:snapToGrid w:val="0"/>
                <w:color w:val="auto"/>
                <w:sz w:val="24"/>
                <w:szCs w:val="24"/>
                <w:highlight w:val="none"/>
                <w:lang w:val="en-US" w:eastAsia="zh-CN"/>
              </w:rPr>
            </w:pPr>
            <w:r>
              <w:rPr>
                <w:rFonts w:hint="default" w:ascii="Times New Roman" w:hAnsi="Times New Roman" w:eastAsia="宋体" w:cs="Times New Roman"/>
                <w:b/>
                <w:bCs w:val="0"/>
                <w:snapToGrid w:val="0"/>
                <w:color w:val="auto"/>
                <w:sz w:val="24"/>
                <w:szCs w:val="24"/>
                <w:highlight w:val="none"/>
                <w:lang w:val="en-US" w:eastAsia="zh-CN"/>
              </w:rPr>
              <w:t>自紧应力加工：</w:t>
            </w:r>
            <w:r>
              <w:rPr>
                <w:rFonts w:hint="default" w:ascii="Times New Roman" w:hAnsi="Times New Roman" w:eastAsia="宋体" w:cs="Times New Roman"/>
                <w:b w:val="0"/>
                <w:bCs/>
                <w:snapToGrid w:val="0"/>
                <w:color w:val="auto"/>
                <w:sz w:val="24"/>
                <w:szCs w:val="24"/>
                <w:highlight w:val="none"/>
                <w:lang w:val="en-US" w:eastAsia="zh-CN"/>
              </w:rPr>
              <w:t>利用气动螺丝枪将堵头旋到轨体上，将高压孔堵住，只留进油孔和出油孔，</w:t>
            </w:r>
            <w:r>
              <w:rPr>
                <w:rFonts w:hint="eastAsia" w:ascii="Times New Roman" w:hAnsi="Times New Roman" w:eastAsia="宋体" w:cs="Times New Roman"/>
                <w:b w:val="0"/>
                <w:bCs/>
                <w:snapToGrid w:val="0"/>
                <w:color w:val="auto"/>
                <w:sz w:val="24"/>
                <w:szCs w:val="24"/>
                <w:highlight w:val="none"/>
                <w:lang w:val="en-US" w:eastAsia="zh-CN"/>
              </w:rPr>
              <w:t>在常温下进行泄漏测试</w:t>
            </w:r>
            <w:r>
              <w:rPr>
                <w:rFonts w:hint="default" w:ascii="Times New Roman" w:hAnsi="Times New Roman" w:eastAsia="宋体" w:cs="Times New Roman"/>
                <w:b w:val="0"/>
                <w:bCs/>
                <w:snapToGrid w:val="0"/>
                <w:color w:val="auto"/>
                <w:sz w:val="24"/>
                <w:szCs w:val="24"/>
                <w:highlight w:val="none"/>
                <w:lang w:val="en-US" w:eastAsia="zh-CN"/>
              </w:rPr>
              <w:t>。测试油从轨体进油孔进</w:t>
            </w:r>
            <w:r>
              <w:rPr>
                <w:rFonts w:hint="eastAsia" w:ascii="Times New Roman" w:hAnsi="Times New Roman" w:eastAsia="宋体" w:cs="Times New Roman"/>
                <w:b w:val="0"/>
                <w:bCs/>
                <w:snapToGrid w:val="0"/>
                <w:color w:val="auto"/>
                <w:sz w:val="24"/>
                <w:szCs w:val="24"/>
                <w:highlight w:val="none"/>
                <w:lang w:val="en-US" w:eastAsia="zh-CN"/>
              </w:rPr>
              <w:t>，</w:t>
            </w:r>
            <w:r>
              <w:rPr>
                <w:rFonts w:hint="default" w:ascii="Times New Roman" w:hAnsi="Times New Roman" w:eastAsia="宋体" w:cs="Times New Roman"/>
                <w:b w:val="0"/>
                <w:bCs/>
                <w:snapToGrid w:val="0"/>
                <w:color w:val="auto"/>
                <w:sz w:val="24"/>
                <w:szCs w:val="24"/>
                <w:highlight w:val="none"/>
                <w:lang w:val="en-US" w:eastAsia="zh-CN"/>
              </w:rPr>
              <w:t>出油孔出，测试产品的高压泄漏等功能</w:t>
            </w:r>
            <w:r>
              <w:rPr>
                <w:rFonts w:hint="eastAsia" w:ascii="Times New Roman" w:hAnsi="Times New Roman" w:eastAsia="宋体" w:cs="Times New Roman"/>
                <w:b w:val="0"/>
                <w:bCs/>
                <w:snapToGrid w:val="0"/>
                <w:color w:val="auto"/>
                <w:sz w:val="24"/>
                <w:szCs w:val="24"/>
                <w:highlight w:val="none"/>
                <w:lang w:val="en-US" w:eastAsia="zh-CN"/>
              </w:rPr>
              <w:t>。此过程中最终产品强化轨体内部会带有少量的油，该部分带出的少量油起到防锈作用，因此后道不再设置清洗工序。该工序使用到的测试油闪点＞210℃，且该工序在常温下进行，因此无油雾产生。该工序会产生含油废抹布（S</w:t>
            </w:r>
            <w:r>
              <w:rPr>
                <w:rFonts w:hint="eastAsia" w:ascii="Times New Roman" w:hAnsi="Times New Roman" w:eastAsia="宋体" w:cs="Times New Roman"/>
                <w:b w:val="0"/>
                <w:bCs/>
                <w:snapToGrid w:val="0"/>
                <w:color w:val="auto"/>
                <w:sz w:val="24"/>
                <w:szCs w:val="24"/>
                <w:highlight w:val="none"/>
                <w:vertAlign w:val="subscript"/>
                <w:lang w:val="en-US" w:eastAsia="zh-CN"/>
              </w:rPr>
              <w:t>7</w:t>
            </w:r>
            <w:r>
              <w:rPr>
                <w:rFonts w:hint="eastAsia" w:ascii="Times New Roman" w:hAnsi="Times New Roman" w:eastAsia="宋体" w:cs="Times New Roman"/>
                <w:b w:val="0"/>
                <w:bCs/>
                <w:snapToGrid w:val="0"/>
                <w:color w:val="auto"/>
                <w:sz w:val="24"/>
                <w:szCs w:val="24"/>
                <w:highlight w:val="none"/>
                <w:lang w:val="en-US" w:eastAsia="zh-CN"/>
              </w:rPr>
              <w:t>）。</w:t>
            </w:r>
          </w:p>
          <w:p>
            <w:pPr>
              <w:keepNext w:val="0"/>
              <w:keepLines w:val="0"/>
              <w:pageBreakBefore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（二）、产污环节及污染物排放情况</w:t>
            </w:r>
          </w:p>
          <w:p>
            <w:pPr>
              <w:adjustRightInd w:val="0"/>
              <w:snapToGrid w:val="0"/>
              <w:spacing w:line="500" w:lineRule="exact"/>
              <w:ind w:firstLine="482" w:firstLineChars="200"/>
              <w:jc w:val="center"/>
              <w:rPr>
                <w:rFonts w:hint="default" w:ascii="Times New Roman" w:hAnsi="Times New Roman" w:eastAsia="宋体" w:cs="Times New Roman"/>
                <w:b/>
                <w:bCs/>
                <w:snapToGrid w:val="0"/>
                <w:color w:val="auto"/>
                <w:kern w:val="0"/>
                <w:sz w:val="24"/>
                <w:highlight w:val="none"/>
              </w:rPr>
            </w:pPr>
            <w:r>
              <w:rPr>
                <w:rFonts w:hint="default" w:ascii="Times New Roman" w:hAnsi="Times New Roman" w:eastAsia="宋体" w:cs="Times New Roman"/>
                <w:b/>
                <w:bCs/>
                <w:snapToGrid w:val="0"/>
                <w:color w:val="auto"/>
                <w:kern w:val="0"/>
                <w:sz w:val="24"/>
                <w:highlight w:val="none"/>
              </w:rPr>
              <w:t>表2-</w:t>
            </w:r>
            <w:r>
              <w:rPr>
                <w:rFonts w:hint="default" w:ascii="Times New Roman" w:hAnsi="Times New Roman" w:eastAsia="宋体" w:cs="Times New Roman"/>
                <w:b/>
                <w:bCs/>
                <w:snapToGrid w:val="0"/>
                <w:color w:val="auto"/>
                <w:kern w:val="0"/>
                <w:sz w:val="24"/>
                <w:highlight w:val="none"/>
                <w:lang w:val="en-US" w:eastAsia="zh-CN"/>
              </w:rPr>
              <w:t>6</w:t>
            </w:r>
            <w:r>
              <w:rPr>
                <w:rFonts w:hint="default" w:ascii="Times New Roman" w:hAnsi="Times New Roman" w:eastAsia="宋体" w:cs="Times New Roman"/>
                <w:b/>
                <w:bCs/>
                <w:snapToGrid w:val="0"/>
                <w:color w:val="auto"/>
                <w:kern w:val="0"/>
                <w:sz w:val="24"/>
                <w:highlight w:val="none"/>
              </w:rPr>
              <w:t xml:space="preserve"> </w:t>
            </w:r>
            <w:r>
              <w:rPr>
                <w:rFonts w:hint="default" w:ascii="Times New Roman" w:hAnsi="Times New Roman" w:eastAsia="宋体" w:cs="Times New Roman"/>
                <w:b/>
                <w:bCs/>
                <w:snapToGrid w:val="0"/>
                <w:color w:val="auto"/>
                <w:kern w:val="0"/>
                <w:sz w:val="24"/>
                <w:highlight w:val="none"/>
                <w:lang w:val="en-US" w:eastAsia="zh-CN"/>
              </w:rPr>
              <w:t xml:space="preserve"> </w:t>
            </w:r>
            <w:r>
              <w:rPr>
                <w:rFonts w:hint="default" w:ascii="Times New Roman" w:hAnsi="Times New Roman" w:eastAsia="宋体" w:cs="Times New Roman"/>
                <w:b/>
                <w:bCs/>
                <w:snapToGrid w:val="0"/>
                <w:color w:val="auto"/>
                <w:kern w:val="0"/>
                <w:sz w:val="24"/>
                <w:highlight w:val="none"/>
              </w:rPr>
              <w:t xml:space="preserve"> 本项目产污环节及污染物排放情况表</w:t>
            </w:r>
          </w:p>
          <w:tbl>
            <w:tblPr>
              <w:tblStyle w:val="21"/>
              <w:tblW w:w="491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10"/>
              <w:gridCol w:w="664"/>
              <w:gridCol w:w="1349"/>
              <w:gridCol w:w="2516"/>
              <w:gridCol w:w="914"/>
              <w:gridCol w:w="28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9"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类别</w:t>
                  </w:r>
                </w:p>
              </w:tc>
              <w:tc>
                <w:tcPr>
                  <w:tcW w:w="383" w:type="pct"/>
                  <w:noWrap w:val="0"/>
                  <w:vAlign w:val="center"/>
                </w:tcPr>
                <w:p>
                  <w:pPr>
                    <w:adjustRightInd w:val="0"/>
                    <w:snapToGrid w:val="0"/>
                    <w:spacing w:line="0" w:lineRule="atLeas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代码</w:t>
                  </w:r>
                </w:p>
              </w:tc>
              <w:tc>
                <w:tcPr>
                  <w:tcW w:w="779"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产生点</w:t>
                  </w:r>
                </w:p>
              </w:tc>
              <w:tc>
                <w:tcPr>
                  <w:tcW w:w="1453"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污染物</w:t>
                  </w:r>
                </w:p>
              </w:tc>
              <w:tc>
                <w:tcPr>
                  <w:tcW w:w="528"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产生</w:t>
                  </w:r>
                </w:p>
                <w:p>
                  <w:pPr>
                    <w:autoSpaceDE w:val="0"/>
                    <w:autoSpaceDN w:val="0"/>
                    <w:adjustRightInd w:val="0"/>
                    <w:snapToGrid w:val="0"/>
                    <w:spacing w:line="0" w:lineRule="atLeas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特征</w:t>
                  </w:r>
                </w:p>
              </w:tc>
              <w:tc>
                <w:tcPr>
                  <w:tcW w:w="1675"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9"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w:t>
                  </w:r>
                </w:p>
              </w:tc>
              <w:tc>
                <w:tcPr>
                  <w:tcW w:w="38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vertAlign w:val="subscript"/>
                      <w:lang w:val="en-US" w:eastAsia="zh-CN"/>
                    </w:rPr>
                  </w:pPr>
                  <w:r>
                    <w:rPr>
                      <w:rFonts w:hint="eastAsia" w:cs="Times New Roman"/>
                      <w:color w:val="auto"/>
                      <w:szCs w:val="21"/>
                      <w:highlight w:val="none"/>
                      <w:lang w:val="en-US" w:eastAsia="zh-CN"/>
                    </w:rPr>
                    <w:t>/</w:t>
                  </w:r>
                </w:p>
              </w:tc>
              <w:tc>
                <w:tcPr>
                  <w:tcW w:w="779"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453" w:type="pct"/>
                  <w:noWrap w:val="0"/>
                  <w:vAlign w:val="center"/>
                </w:tcPr>
                <w:p>
                  <w:pPr>
                    <w:adjustRightInd w:val="0"/>
                    <w:snapToGrid w:val="0"/>
                    <w:spacing w:line="0" w:lineRule="atLeast"/>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w:t>
                  </w:r>
                </w:p>
              </w:tc>
              <w:tc>
                <w:tcPr>
                  <w:tcW w:w="528"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675"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9" w:type="pct"/>
                  <w:vMerge w:val="restar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废水/废液</w:t>
                  </w:r>
                </w:p>
              </w:tc>
              <w:tc>
                <w:tcPr>
                  <w:tcW w:w="38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vertAlign w:val="subscript"/>
                      <w:lang w:val="en-US" w:eastAsia="zh-CN"/>
                    </w:rPr>
                  </w:pPr>
                  <w:r>
                    <w:rPr>
                      <w:rFonts w:hint="default" w:ascii="Times New Roman" w:hAnsi="Times New Roman" w:eastAsia="宋体" w:cs="Times New Roman"/>
                      <w:color w:val="auto"/>
                      <w:szCs w:val="21"/>
                      <w:highlight w:val="none"/>
                    </w:rPr>
                    <w:t>W</w:t>
                  </w:r>
                  <w:r>
                    <w:rPr>
                      <w:rFonts w:hint="eastAsia" w:cs="Times New Roman"/>
                      <w:color w:val="auto"/>
                      <w:szCs w:val="21"/>
                      <w:highlight w:val="none"/>
                      <w:vertAlign w:val="subscript"/>
                      <w:lang w:val="en-US" w:eastAsia="zh-CN"/>
                    </w:rPr>
                    <w:t>1</w:t>
                  </w:r>
                </w:p>
              </w:tc>
              <w:tc>
                <w:tcPr>
                  <w:tcW w:w="779"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中和清洗</w:t>
                  </w:r>
                </w:p>
              </w:tc>
              <w:tc>
                <w:tcPr>
                  <w:tcW w:w="145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清洗废水（COD、SS、</w:t>
                  </w:r>
                  <w:r>
                    <w:rPr>
                      <w:rFonts w:hint="eastAsia" w:cs="Times New Roman"/>
                      <w:color w:val="auto"/>
                      <w:szCs w:val="21"/>
                      <w:highlight w:val="none"/>
                      <w:lang w:val="en-US" w:eastAsia="zh-Hans"/>
                    </w:rPr>
                    <w:t>氨氮</w:t>
                  </w:r>
                  <w:r>
                    <w:rPr>
                      <w:rFonts w:hint="default" w:cs="Times New Roman"/>
                      <w:color w:val="auto"/>
                      <w:szCs w:val="21"/>
                      <w:highlight w:val="none"/>
                      <w:lang w:eastAsia="zh-Hans"/>
                    </w:rPr>
                    <w:t>、</w:t>
                  </w:r>
                  <w:r>
                    <w:rPr>
                      <w:rFonts w:hint="eastAsia" w:cs="Times New Roman"/>
                      <w:color w:val="auto"/>
                      <w:szCs w:val="21"/>
                      <w:highlight w:val="none"/>
                      <w:lang w:val="en-US" w:eastAsia="zh-Hans"/>
                    </w:rPr>
                    <w:t>总磷</w:t>
                  </w:r>
                  <w:r>
                    <w:rPr>
                      <w:rFonts w:hint="default" w:cs="Times New Roman"/>
                      <w:color w:val="auto"/>
                      <w:szCs w:val="21"/>
                      <w:highlight w:val="none"/>
                      <w:lang w:eastAsia="zh-Hans"/>
                    </w:rPr>
                    <w:t>、</w:t>
                  </w:r>
                  <w:r>
                    <w:rPr>
                      <w:rFonts w:hint="eastAsia" w:cs="Times New Roman"/>
                      <w:color w:val="auto"/>
                      <w:szCs w:val="21"/>
                      <w:highlight w:val="none"/>
                      <w:lang w:val="en-US" w:eastAsia="zh-Hans"/>
                    </w:rPr>
                    <w:t>总氮</w:t>
                  </w:r>
                  <w:r>
                    <w:rPr>
                      <w:rFonts w:hint="default" w:cs="Times New Roman"/>
                      <w:color w:val="auto"/>
                      <w:szCs w:val="21"/>
                      <w:highlight w:val="none"/>
                      <w:lang w:eastAsia="zh-Hans"/>
                    </w:rPr>
                    <w:t>、</w:t>
                  </w:r>
                  <w:r>
                    <w:rPr>
                      <w:rFonts w:hint="eastAsia" w:cs="Times New Roman"/>
                      <w:color w:val="auto"/>
                      <w:szCs w:val="21"/>
                      <w:highlight w:val="none"/>
                      <w:lang w:val="en-US" w:eastAsia="zh-Hans"/>
                    </w:rPr>
                    <w:t>石油类</w:t>
                  </w:r>
                  <w:r>
                    <w:rPr>
                      <w:rFonts w:hint="default" w:ascii="Times New Roman" w:hAnsi="Times New Roman" w:eastAsia="宋体" w:cs="Times New Roman"/>
                      <w:color w:val="auto"/>
                      <w:szCs w:val="21"/>
                      <w:highlight w:val="none"/>
                    </w:rPr>
                    <w:t>）</w:t>
                  </w:r>
                </w:p>
              </w:tc>
              <w:tc>
                <w:tcPr>
                  <w:tcW w:w="528"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连续</w:t>
                  </w:r>
                </w:p>
              </w:tc>
              <w:tc>
                <w:tcPr>
                  <w:tcW w:w="1675"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经厂内</w:t>
                  </w:r>
                  <w:r>
                    <w:rPr>
                      <w:rFonts w:hint="eastAsia" w:cs="Times New Roman"/>
                      <w:color w:val="auto"/>
                      <w:szCs w:val="21"/>
                      <w:highlight w:val="none"/>
                      <w:lang w:val="en-US" w:eastAsia="zh-CN"/>
                    </w:rPr>
                    <w:t>污</w:t>
                  </w:r>
                  <w:r>
                    <w:rPr>
                      <w:rFonts w:hint="default" w:ascii="Times New Roman" w:hAnsi="Times New Roman" w:eastAsia="宋体" w:cs="Times New Roman"/>
                      <w:color w:val="auto"/>
                      <w:szCs w:val="21"/>
                      <w:highlight w:val="none"/>
                    </w:rPr>
                    <w:t>水处理站处理后</w:t>
                  </w:r>
                </w:p>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回用于中水冷却塔，零排放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9" w:type="pct"/>
                  <w:vMerge w:val="continue"/>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p>
              </w:tc>
              <w:tc>
                <w:tcPr>
                  <w:tcW w:w="38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W</w:t>
                  </w:r>
                  <w:r>
                    <w:rPr>
                      <w:rFonts w:hint="default" w:ascii="Times New Roman" w:hAnsi="Times New Roman" w:eastAsia="宋体" w:cs="Times New Roman"/>
                      <w:color w:val="auto"/>
                      <w:szCs w:val="21"/>
                      <w:highlight w:val="none"/>
                      <w:vertAlign w:val="subscript"/>
                      <w:lang w:val="en-US" w:eastAsia="zh-CN"/>
                    </w:rPr>
                    <w:t>2</w:t>
                  </w:r>
                </w:p>
              </w:tc>
              <w:tc>
                <w:tcPr>
                  <w:tcW w:w="779"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员工生活</w:t>
                  </w:r>
                </w:p>
              </w:tc>
              <w:tc>
                <w:tcPr>
                  <w:tcW w:w="145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生活污水（COD、SS、氨氮、总氮、总磷</w:t>
                  </w:r>
                  <w:r>
                    <w:rPr>
                      <w:rFonts w:hint="default" w:ascii="Times New Roman" w:hAnsi="Times New Roman" w:eastAsia="宋体" w:cs="Times New Roman"/>
                      <w:color w:val="auto"/>
                      <w:szCs w:val="21"/>
                      <w:highlight w:val="none"/>
                      <w:lang w:eastAsia="zh-CN"/>
                    </w:rPr>
                    <w:t>、</w:t>
                  </w:r>
                  <w:r>
                    <w:rPr>
                      <w:rFonts w:hint="eastAsia" w:cs="Times New Roman"/>
                      <w:color w:val="auto"/>
                      <w:szCs w:val="21"/>
                      <w:highlight w:val="none"/>
                      <w:lang w:val="en-US" w:eastAsia="zh-CN"/>
                    </w:rPr>
                    <w:t>动植物油</w:t>
                  </w:r>
                  <w:r>
                    <w:rPr>
                      <w:rFonts w:hint="default" w:ascii="Times New Roman" w:hAnsi="Times New Roman" w:eastAsia="宋体" w:cs="Times New Roman"/>
                      <w:color w:val="auto"/>
                      <w:szCs w:val="21"/>
                      <w:highlight w:val="none"/>
                    </w:rPr>
                    <w:t>）</w:t>
                  </w:r>
                </w:p>
              </w:tc>
              <w:tc>
                <w:tcPr>
                  <w:tcW w:w="528"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间断</w:t>
                  </w:r>
                </w:p>
              </w:tc>
              <w:tc>
                <w:tcPr>
                  <w:tcW w:w="1675"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Cs w:val="21"/>
                      <w:highlight w:val="none"/>
                    </w:rPr>
                    <w:t>化粪池预处理后接管至</w:t>
                  </w:r>
                  <w:r>
                    <w:rPr>
                      <w:rFonts w:hint="default" w:ascii="Times New Roman" w:hAnsi="Times New Roman" w:eastAsia="宋体" w:cs="Times New Roman"/>
                      <w:color w:val="auto"/>
                      <w:szCs w:val="21"/>
                      <w:highlight w:val="none"/>
                      <w:lang w:val="en-US" w:eastAsia="zh-CN"/>
                    </w:rPr>
                    <w:t>新城</w:t>
                  </w:r>
                  <w:r>
                    <w:rPr>
                      <w:rFonts w:hint="default" w:ascii="Times New Roman" w:hAnsi="Times New Roman" w:eastAsia="宋体" w:cs="Times New Roman"/>
                      <w:color w:val="auto"/>
                      <w:szCs w:val="21"/>
                      <w:highlight w:val="none"/>
                    </w:rPr>
                    <w:t>水处理厂集中处理处置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179" w:type="pct"/>
                  <w:vMerge w:val="continue"/>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p>
              </w:tc>
              <w:tc>
                <w:tcPr>
                  <w:tcW w:w="38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w:t>
                  </w:r>
                  <w:r>
                    <w:rPr>
                      <w:rFonts w:hint="eastAsia" w:cs="Times New Roman"/>
                      <w:color w:val="auto"/>
                      <w:szCs w:val="21"/>
                      <w:highlight w:val="none"/>
                      <w:vertAlign w:val="subscript"/>
                      <w:lang w:val="en-US" w:eastAsia="zh-CN"/>
                    </w:rPr>
                    <w:t>3</w:t>
                  </w:r>
                </w:p>
              </w:tc>
              <w:tc>
                <w:tcPr>
                  <w:tcW w:w="779"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val="en-US" w:eastAsia="zh-CN"/>
                    </w:rPr>
                    <w:t>软水设备</w:t>
                  </w:r>
                </w:p>
              </w:tc>
              <w:tc>
                <w:tcPr>
                  <w:tcW w:w="145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制软水废水（COD、SS）</w:t>
                  </w:r>
                </w:p>
              </w:tc>
              <w:tc>
                <w:tcPr>
                  <w:tcW w:w="528"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间断</w:t>
                  </w:r>
                </w:p>
              </w:tc>
              <w:tc>
                <w:tcPr>
                  <w:tcW w:w="1675"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接管至新城水处理厂集中处理处置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9" w:type="pct"/>
                  <w:vMerge w:val="continue"/>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p>
              </w:tc>
              <w:tc>
                <w:tcPr>
                  <w:tcW w:w="383" w:type="pct"/>
                  <w:noWrap w:val="0"/>
                  <w:vAlign w:val="center"/>
                </w:tcPr>
                <w:p>
                  <w:pPr>
                    <w:adjustRightInd w:val="0"/>
                    <w:snapToGrid w:val="0"/>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W</w:t>
                  </w:r>
                  <w:r>
                    <w:rPr>
                      <w:rFonts w:hint="eastAsia" w:cs="Times New Roman"/>
                      <w:color w:val="auto"/>
                      <w:szCs w:val="21"/>
                      <w:highlight w:val="none"/>
                      <w:vertAlign w:val="subscript"/>
                      <w:lang w:val="en-US" w:eastAsia="zh-CN"/>
                    </w:rPr>
                    <w:t>4</w:t>
                  </w:r>
                </w:p>
              </w:tc>
              <w:tc>
                <w:tcPr>
                  <w:tcW w:w="779" w:type="pct"/>
                  <w:noWrap w:val="0"/>
                  <w:vAlign w:val="center"/>
                </w:tcPr>
                <w:p>
                  <w:pPr>
                    <w:adjustRightInd w:val="0"/>
                    <w:snapToGrid w:val="0"/>
                    <w:spacing w:line="0" w:lineRule="atLeast"/>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制纯设备</w:t>
                  </w:r>
                </w:p>
              </w:tc>
              <w:tc>
                <w:tcPr>
                  <w:tcW w:w="1453" w:type="pct"/>
                  <w:noWrap w:val="0"/>
                  <w:vAlign w:val="center"/>
                </w:tcPr>
                <w:p>
                  <w:pPr>
                    <w:adjustRightInd w:val="0"/>
                    <w:snapToGrid w:val="0"/>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RO浓水、RO反冲洗废水（COD、SS）</w:t>
                  </w:r>
                </w:p>
              </w:tc>
              <w:tc>
                <w:tcPr>
                  <w:tcW w:w="528"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间断</w:t>
                  </w:r>
                </w:p>
              </w:tc>
              <w:tc>
                <w:tcPr>
                  <w:tcW w:w="1675"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经厂内</w:t>
                  </w:r>
                  <w:r>
                    <w:rPr>
                      <w:rFonts w:hint="eastAsia" w:cs="Times New Roman"/>
                      <w:color w:val="auto"/>
                      <w:szCs w:val="21"/>
                      <w:highlight w:val="none"/>
                      <w:lang w:val="en-US" w:eastAsia="zh-CN"/>
                    </w:rPr>
                    <w:t>中水回用系统</w:t>
                  </w:r>
                  <w:r>
                    <w:rPr>
                      <w:rFonts w:hint="default" w:ascii="Times New Roman" w:hAnsi="Times New Roman" w:eastAsia="宋体" w:cs="Times New Roman"/>
                      <w:color w:val="auto"/>
                      <w:szCs w:val="21"/>
                      <w:highlight w:val="none"/>
                    </w:rPr>
                    <w:t>处理后</w:t>
                  </w:r>
                </w:p>
                <w:p>
                  <w:pPr>
                    <w:autoSpaceDE w:val="0"/>
                    <w:autoSpaceDN w:val="0"/>
                    <w:adjustRightInd w:val="0"/>
                    <w:snapToGrid w:val="0"/>
                    <w:spacing w:line="0" w:lineRule="atLeast"/>
                    <w:jc w:val="center"/>
                    <w:rPr>
                      <w:rFonts w:hint="eastAsia" w:cs="Times New Roman"/>
                      <w:color w:val="auto"/>
                      <w:szCs w:val="21"/>
                      <w:highlight w:val="none"/>
                      <w:lang w:val="en-US" w:eastAsia="zh-CN"/>
                    </w:rPr>
                  </w:pPr>
                  <w:r>
                    <w:rPr>
                      <w:rFonts w:hint="default" w:ascii="Times New Roman" w:hAnsi="Times New Roman" w:eastAsia="宋体" w:cs="Times New Roman"/>
                      <w:color w:val="auto"/>
                      <w:szCs w:val="21"/>
                      <w:highlight w:val="none"/>
                    </w:rPr>
                    <w:t>回用于中水冷却塔，零排放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9"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38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N</w:t>
                  </w:r>
                </w:p>
              </w:tc>
              <w:tc>
                <w:tcPr>
                  <w:tcW w:w="779" w:type="pct"/>
                  <w:noWrap w:val="0"/>
                  <w:vAlign w:val="center"/>
                </w:tcPr>
                <w:p>
                  <w:pPr>
                    <w:widowControl/>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新增设备</w:t>
                  </w:r>
                </w:p>
              </w:tc>
              <w:tc>
                <w:tcPr>
                  <w:tcW w:w="145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设备工作噪声</w:t>
                  </w:r>
                </w:p>
              </w:tc>
              <w:tc>
                <w:tcPr>
                  <w:tcW w:w="528"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连续</w:t>
                  </w:r>
                </w:p>
              </w:tc>
              <w:tc>
                <w:tcPr>
                  <w:tcW w:w="1675"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车间内，厂房隔声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9" w:type="pct"/>
                  <w:vMerge w:val="restar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w:t>
                  </w:r>
                </w:p>
              </w:tc>
              <w:tc>
                <w:tcPr>
                  <w:tcW w:w="383" w:type="pct"/>
                  <w:noWrap w:val="0"/>
                  <w:vAlign w:val="center"/>
                </w:tcPr>
                <w:p>
                  <w:pPr>
                    <w:adjustRightInd w:val="0"/>
                    <w:snapToGrid w:val="0"/>
                    <w:spacing w:line="0" w:lineRule="atLeast"/>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Cs w:val="21"/>
                      <w:highlight w:val="none"/>
                      <w:vertAlign w:val="baseline"/>
                      <w:lang w:val="en-US" w:eastAsia="zh-CN"/>
                    </w:rPr>
                    <w:t>S</w:t>
                  </w:r>
                  <w:r>
                    <w:rPr>
                      <w:rFonts w:hint="eastAsia" w:cs="Times New Roman"/>
                      <w:color w:val="auto"/>
                      <w:szCs w:val="21"/>
                      <w:highlight w:val="none"/>
                      <w:vertAlign w:val="subscript"/>
                      <w:lang w:val="en-US" w:eastAsia="zh-CN"/>
                    </w:rPr>
                    <w:t>1</w:t>
                  </w:r>
                </w:p>
              </w:tc>
              <w:tc>
                <w:tcPr>
                  <w:tcW w:w="779"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电化学腐蚀</w:t>
                  </w:r>
                </w:p>
              </w:tc>
              <w:tc>
                <w:tcPr>
                  <w:tcW w:w="1453"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废电解液</w:t>
                  </w:r>
                </w:p>
              </w:tc>
              <w:tc>
                <w:tcPr>
                  <w:tcW w:w="528"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间断</w:t>
                  </w:r>
                </w:p>
              </w:tc>
              <w:tc>
                <w:tcPr>
                  <w:tcW w:w="1675"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委托有资质单位处理处置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9" w:type="pct"/>
                  <w:vMerge w:val="continue"/>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p>
              </w:tc>
              <w:tc>
                <w:tcPr>
                  <w:tcW w:w="38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vertAlign w:val="subscript"/>
                      <w:lang w:val="en-US" w:eastAsia="zh-CN"/>
                    </w:rPr>
                  </w:pPr>
                  <w:r>
                    <w:rPr>
                      <w:rFonts w:hint="eastAsia" w:cs="Times New Roman"/>
                      <w:color w:val="auto"/>
                      <w:szCs w:val="21"/>
                      <w:highlight w:val="none"/>
                      <w:vertAlign w:val="baseline"/>
                      <w:lang w:val="en-US" w:eastAsia="zh-CN"/>
                    </w:rPr>
                    <w:t>S</w:t>
                  </w:r>
                  <w:r>
                    <w:rPr>
                      <w:rFonts w:hint="eastAsia" w:cs="Times New Roman"/>
                      <w:color w:val="auto"/>
                      <w:szCs w:val="21"/>
                      <w:highlight w:val="none"/>
                      <w:vertAlign w:val="subscript"/>
                      <w:lang w:val="en-US" w:eastAsia="zh-CN"/>
                    </w:rPr>
                    <w:t>2</w:t>
                  </w:r>
                </w:p>
              </w:tc>
              <w:tc>
                <w:tcPr>
                  <w:tcW w:w="779"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原料使用</w:t>
                  </w:r>
                </w:p>
              </w:tc>
              <w:tc>
                <w:tcPr>
                  <w:tcW w:w="1453"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olor w:val="auto"/>
                      <w:lang w:val="en-US" w:eastAsia="zh-CN"/>
                    </w:rPr>
                    <w:t>化学品容器</w:t>
                  </w:r>
                </w:p>
              </w:tc>
              <w:tc>
                <w:tcPr>
                  <w:tcW w:w="528"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间断</w:t>
                  </w:r>
                </w:p>
              </w:tc>
              <w:tc>
                <w:tcPr>
                  <w:tcW w:w="1675"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委托有资质单位处理处置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9" w:type="pct"/>
                  <w:vMerge w:val="continue"/>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p>
              </w:tc>
              <w:tc>
                <w:tcPr>
                  <w:tcW w:w="38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S</w:t>
                  </w:r>
                  <w:r>
                    <w:rPr>
                      <w:rFonts w:hint="eastAsia" w:cs="Times New Roman"/>
                      <w:color w:val="auto"/>
                      <w:sz w:val="22"/>
                      <w:szCs w:val="22"/>
                      <w:highlight w:val="none"/>
                      <w:vertAlign w:val="subscript"/>
                      <w:lang w:val="en-US" w:eastAsia="zh-CN"/>
                    </w:rPr>
                    <w:t>3</w:t>
                  </w:r>
                </w:p>
              </w:tc>
              <w:tc>
                <w:tcPr>
                  <w:tcW w:w="779"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废水处理</w:t>
                  </w:r>
                </w:p>
              </w:tc>
              <w:tc>
                <w:tcPr>
                  <w:tcW w:w="1453"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浓缩废液</w:t>
                  </w:r>
                </w:p>
              </w:tc>
              <w:tc>
                <w:tcPr>
                  <w:tcW w:w="528" w:type="pct"/>
                  <w:noWrap w:val="0"/>
                  <w:vAlign w:val="center"/>
                </w:tcPr>
                <w:p>
                  <w:pPr>
                    <w:autoSpaceDE w:val="0"/>
                    <w:autoSpaceDN w:val="0"/>
                    <w:adjustRightInd w:val="0"/>
                    <w:snapToGrid w:val="0"/>
                    <w:spacing w:line="0" w:lineRule="atLeast"/>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间断</w:t>
                  </w:r>
                </w:p>
              </w:tc>
              <w:tc>
                <w:tcPr>
                  <w:tcW w:w="1675"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委托有资质单位处理处置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9" w:type="pct"/>
                  <w:vMerge w:val="continue"/>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p>
              </w:tc>
              <w:tc>
                <w:tcPr>
                  <w:tcW w:w="383" w:type="pct"/>
                  <w:noWrap w:val="0"/>
                  <w:vAlign w:val="center"/>
                </w:tcPr>
                <w:p>
                  <w:pPr>
                    <w:adjustRightInd w:val="0"/>
                    <w:snapToGrid w:val="0"/>
                    <w:spacing w:line="0" w:lineRule="atLeast"/>
                    <w:jc w:val="center"/>
                    <w:rPr>
                      <w:rFonts w:hint="eastAsia" w:cs="Times New Roman"/>
                      <w:color w:val="auto"/>
                      <w:szCs w:val="21"/>
                      <w:highlight w:val="none"/>
                      <w:lang w:val="en-US" w:eastAsia="zh-CN"/>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4</w:t>
                  </w:r>
                </w:p>
              </w:tc>
              <w:tc>
                <w:tcPr>
                  <w:tcW w:w="779"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废水处理</w:t>
                  </w:r>
                </w:p>
              </w:tc>
              <w:tc>
                <w:tcPr>
                  <w:tcW w:w="1453"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离心分离和超滤废液</w:t>
                  </w:r>
                </w:p>
              </w:tc>
              <w:tc>
                <w:tcPr>
                  <w:tcW w:w="528"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间断</w:t>
                  </w:r>
                </w:p>
              </w:tc>
              <w:tc>
                <w:tcPr>
                  <w:tcW w:w="1675"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委托有资质单位处理处置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9" w:type="pct"/>
                  <w:vMerge w:val="continue"/>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p>
              </w:tc>
              <w:tc>
                <w:tcPr>
                  <w:tcW w:w="38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5</w:t>
                  </w:r>
                </w:p>
              </w:tc>
              <w:tc>
                <w:tcPr>
                  <w:tcW w:w="779" w:type="pct"/>
                  <w:noWrap w:val="0"/>
                  <w:vAlign w:val="center"/>
                </w:tcPr>
                <w:p>
                  <w:pPr>
                    <w:adjustRightInd w:val="0"/>
                    <w:snapToGrid w:val="0"/>
                    <w:spacing w:line="0" w:lineRule="atLeast"/>
                    <w:jc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废水处理</w:t>
                  </w:r>
                </w:p>
              </w:tc>
              <w:tc>
                <w:tcPr>
                  <w:tcW w:w="1453" w:type="pct"/>
                  <w:noWrap w:val="0"/>
                  <w:vAlign w:val="center"/>
                </w:tcPr>
                <w:p>
                  <w:pPr>
                    <w:autoSpaceDE w:val="0"/>
                    <w:autoSpaceDN w:val="0"/>
                    <w:adjustRightInd w:val="0"/>
                    <w:snapToGrid w:val="0"/>
                    <w:spacing w:line="0" w:lineRule="atLeast"/>
                    <w:jc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污泥</w:t>
                  </w:r>
                </w:p>
              </w:tc>
              <w:tc>
                <w:tcPr>
                  <w:tcW w:w="528" w:type="pct"/>
                  <w:noWrap w:val="0"/>
                  <w:vAlign w:val="center"/>
                </w:tcPr>
                <w:p>
                  <w:pPr>
                    <w:autoSpaceDE w:val="0"/>
                    <w:autoSpaceDN w:val="0"/>
                    <w:adjustRightInd w:val="0"/>
                    <w:snapToGrid w:val="0"/>
                    <w:spacing w:line="0" w:lineRule="atLeast"/>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间断</w:t>
                  </w:r>
                </w:p>
              </w:tc>
              <w:tc>
                <w:tcPr>
                  <w:tcW w:w="1675"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委托有资质单位处理处置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9" w:type="pct"/>
                  <w:vMerge w:val="continue"/>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p>
              </w:tc>
              <w:tc>
                <w:tcPr>
                  <w:tcW w:w="38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6</w:t>
                  </w:r>
                </w:p>
              </w:tc>
              <w:tc>
                <w:tcPr>
                  <w:tcW w:w="779" w:type="pct"/>
                  <w:noWrap w:val="0"/>
                  <w:vAlign w:val="center"/>
                </w:tcPr>
                <w:p>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电化学腐蚀</w:t>
                  </w:r>
                </w:p>
              </w:tc>
              <w:tc>
                <w:tcPr>
                  <w:tcW w:w="1453" w:type="pct"/>
                  <w:noWrap w:val="0"/>
                  <w:vAlign w:val="center"/>
                </w:tcPr>
                <w:p>
                  <w:pPr>
                    <w:autoSpaceDE w:val="0"/>
                    <w:autoSpaceDN w:val="0"/>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废过滤材料</w:t>
                  </w:r>
                </w:p>
              </w:tc>
              <w:tc>
                <w:tcPr>
                  <w:tcW w:w="528"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间断</w:t>
                  </w:r>
                </w:p>
              </w:tc>
              <w:tc>
                <w:tcPr>
                  <w:tcW w:w="1675" w:type="pct"/>
                  <w:noWrap w:val="0"/>
                  <w:vAlign w:val="center"/>
                </w:tcPr>
                <w:p>
                  <w:pPr>
                    <w:autoSpaceDE w:val="0"/>
                    <w:autoSpaceDN w:val="0"/>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委托有资质单位处理处置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9" w:type="pct"/>
                  <w:vMerge w:val="continue"/>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p>
              </w:tc>
              <w:tc>
                <w:tcPr>
                  <w:tcW w:w="38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S</w:t>
                  </w:r>
                  <w:r>
                    <w:rPr>
                      <w:rFonts w:hint="eastAsia" w:cs="Times New Roman"/>
                      <w:color w:val="auto"/>
                      <w:szCs w:val="21"/>
                      <w:highlight w:val="none"/>
                      <w:vertAlign w:val="subscript"/>
                      <w:lang w:val="en-US" w:eastAsia="zh-CN"/>
                    </w:rPr>
                    <w:t>7</w:t>
                  </w:r>
                </w:p>
              </w:tc>
              <w:tc>
                <w:tcPr>
                  <w:tcW w:w="779" w:type="pct"/>
                  <w:noWrap w:val="0"/>
                  <w:vAlign w:val="center"/>
                </w:tcPr>
                <w:p>
                  <w:pPr>
                    <w:adjustRightInd w:val="0"/>
                    <w:snapToGrid w:val="0"/>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自紧应力加工</w:t>
                  </w:r>
                </w:p>
              </w:tc>
              <w:tc>
                <w:tcPr>
                  <w:tcW w:w="1453" w:type="pct"/>
                  <w:noWrap w:val="0"/>
                  <w:vAlign w:val="center"/>
                </w:tcPr>
                <w:p>
                  <w:pPr>
                    <w:autoSpaceDE w:val="0"/>
                    <w:autoSpaceDN w:val="0"/>
                    <w:adjustRightInd w:val="0"/>
                    <w:snapToGrid w:val="0"/>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含油废抹布</w:t>
                  </w:r>
                </w:p>
              </w:tc>
              <w:tc>
                <w:tcPr>
                  <w:tcW w:w="914" w:type="dxa"/>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间断</w:t>
                  </w:r>
                </w:p>
              </w:tc>
              <w:tc>
                <w:tcPr>
                  <w:tcW w:w="2899" w:type="dxa"/>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委托有资质单位处理处置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9" w:type="pct"/>
                  <w:vMerge w:val="continue"/>
                  <w:noWrap w:val="0"/>
                  <w:vAlign w:val="center"/>
                </w:tcPr>
                <w:p>
                  <w:pPr>
                    <w:autoSpaceDE w:val="0"/>
                    <w:autoSpaceDN w:val="0"/>
                    <w:adjustRightInd w:val="0"/>
                    <w:snapToGrid w:val="0"/>
                    <w:spacing w:line="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S</w:t>
                  </w:r>
                </w:p>
              </w:tc>
              <w:tc>
                <w:tcPr>
                  <w:tcW w:w="383" w:type="pct"/>
                  <w:noWrap w:val="0"/>
                  <w:vAlign w:val="center"/>
                </w:tcPr>
                <w:p>
                  <w:pPr>
                    <w:adjustRightInd w:val="0"/>
                    <w:snapToGrid w:val="0"/>
                    <w:spacing w:line="0" w:lineRule="atLeast"/>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8</w:t>
                  </w:r>
                </w:p>
              </w:tc>
              <w:tc>
                <w:tcPr>
                  <w:tcW w:w="779"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员工生活</w:t>
                  </w:r>
                </w:p>
              </w:tc>
              <w:tc>
                <w:tcPr>
                  <w:tcW w:w="1453"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w:t>
                  </w:r>
                </w:p>
              </w:tc>
              <w:tc>
                <w:tcPr>
                  <w:tcW w:w="528"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间断</w:t>
                  </w:r>
                </w:p>
              </w:tc>
              <w:tc>
                <w:tcPr>
                  <w:tcW w:w="1675"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9" w:type="pct"/>
                  <w:vMerge w:val="continue"/>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p>
              </w:tc>
              <w:tc>
                <w:tcPr>
                  <w:tcW w:w="383"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9</w:t>
                  </w:r>
                </w:p>
              </w:tc>
              <w:tc>
                <w:tcPr>
                  <w:tcW w:w="779"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员工生活</w:t>
                  </w:r>
                </w:p>
              </w:tc>
              <w:tc>
                <w:tcPr>
                  <w:tcW w:w="1453"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食堂泔脚</w:t>
                  </w:r>
                </w:p>
              </w:tc>
              <w:tc>
                <w:tcPr>
                  <w:tcW w:w="528"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间断</w:t>
                  </w:r>
                </w:p>
              </w:tc>
              <w:tc>
                <w:tcPr>
                  <w:tcW w:w="1675"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由专门单位回收处理</w:t>
                  </w:r>
                </w:p>
              </w:tc>
            </w:tr>
          </w:tbl>
          <w:p>
            <w:pPr>
              <w:adjustRightInd w:val="0"/>
              <w:snapToGrid w:val="0"/>
              <w:spacing w:line="460" w:lineRule="exact"/>
              <w:jc w:val="left"/>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六、水平衡分析</w:t>
            </w:r>
          </w:p>
          <w:p>
            <w:pPr>
              <w:keepNext w:val="0"/>
              <w:keepLines w:val="0"/>
              <w:pageBreakBefore w:val="0"/>
              <w:widowControl w:val="0"/>
              <w:kinsoku/>
              <w:wordWrap/>
              <w:overflowPunct/>
              <w:topLinePunct w:val="0"/>
              <w:autoSpaceDE/>
              <w:autoSpaceDN/>
              <w:bidi w:val="0"/>
              <w:adjustRightInd w:val="0"/>
              <w:snapToGrid w:val="0"/>
              <w:spacing w:line="460" w:lineRule="exact"/>
              <w:ind w:firstLine="435"/>
              <w:textAlignment w:val="auto"/>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w:t>
            </w:r>
            <w:r>
              <w:rPr>
                <w:rFonts w:hint="eastAsia" w:cs="Times New Roman"/>
                <w:snapToGrid w:val="0"/>
                <w:color w:val="auto"/>
                <w:kern w:val="0"/>
                <w:sz w:val="24"/>
                <w:highlight w:val="none"/>
                <w:lang w:val="en-US" w:eastAsia="zh-CN"/>
              </w:rPr>
              <w:t>1</w:t>
            </w:r>
            <w:r>
              <w:rPr>
                <w:rFonts w:hint="default" w:ascii="Times New Roman" w:hAnsi="Times New Roman" w:eastAsia="宋体" w:cs="Times New Roman"/>
                <w:snapToGrid w:val="0"/>
                <w:color w:val="auto"/>
                <w:kern w:val="0"/>
                <w:sz w:val="24"/>
                <w:highlight w:val="none"/>
              </w:rPr>
              <w:t>）本项目水平衡分析</w:t>
            </w:r>
          </w:p>
          <w:p>
            <w:pPr>
              <w:keepNext w:val="0"/>
              <w:keepLines w:val="0"/>
              <w:pageBreakBefore w:val="0"/>
              <w:widowControl w:val="0"/>
              <w:kinsoku/>
              <w:wordWrap/>
              <w:overflowPunct/>
              <w:topLinePunct w:val="0"/>
              <w:autoSpaceDE/>
              <w:autoSpaceDN/>
              <w:bidi w:val="0"/>
              <w:adjustRightInd w:val="0"/>
              <w:snapToGrid w:val="0"/>
              <w:spacing w:line="460" w:lineRule="exact"/>
              <w:ind w:firstLine="435"/>
              <w:textAlignment w:val="auto"/>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1）生活用水</w:t>
            </w:r>
          </w:p>
          <w:p>
            <w:pPr>
              <w:keepNext w:val="0"/>
              <w:keepLines w:val="0"/>
              <w:pageBreakBefore w:val="0"/>
              <w:widowControl w:val="0"/>
              <w:kinsoku/>
              <w:wordWrap/>
              <w:overflowPunct/>
              <w:topLinePunct w:val="0"/>
              <w:autoSpaceDE/>
              <w:autoSpaceDN/>
              <w:bidi w:val="0"/>
              <w:adjustRightInd w:val="0"/>
              <w:snapToGrid w:val="0"/>
              <w:spacing w:line="460" w:lineRule="exact"/>
              <w:ind w:firstLine="435"/>
              <w:textAlignment w:val="auto"/>
              <w:rPr>
                <w:rFonts w:hint="default" w:ascii="Times New Roman" w:hAnsi="Times New Roman" w:eastAsia="宋体" w:cs="Times New Roman"/>
                <w:snapToGrid w:val="0"/>
                <w:color w:val="auto"/>
                <w:kern w:val="0"/>
                <w:sz w:val="24"/>
                <w:highlight w:val="none"/>
                <w:lang w:val="en-US" w:eastAsia="zh-CN"/>
              </w:rPr>
            </w:pPr>
            <w:r>
              <w:rPr>
                <w:rFonts w:hint="default" w:ascii="Times New Roman" w:hAnsi="Times New Roman" w:eastAsia="宋体" w:cs="Times New Roman"/>
                <w:snapToGrid w:val="0"/>
                <w:color w:val="auto"/>
                <w:kern w:val="0"/>
                <w:sz w:val="24"/>
                <w:highlight w:val="none"/>
              </w:rPr>
              <w:t>根据《建筑给水排水设计标准》（GB50015-2019）相关规定，工业企业建筑生活用水定额为30L-50L/（人·</w:t>
            </w:r>
            <w:r>
              <w:rPr>
                <w:rFonts w:hint="eastAsia" w:cs="Times New Roman"/>
                <w:snapToGrid w:val="0"/>
                <w:color w:val="auto"/>
                <w:kern w:val="0"/>
                <w:sz w:val="24"/>
                <w:highlight w:val="none"/>
                <w:lang w:val="en-US" w:eastAsia="zh-CN"/>
              </w:rPr>
              <w:t>天</w:t>
            </w:r>
            <w:r>
              <w:rPr>
                <w:rFonts w:hint="default" w:ascii="Times New Roman" w:hAnsi="Times New Roman" w:eastAsia="宋体" w:cs="Times New Roman"/>
                <w:snapToGrid w:val="0"/>
                <w:color w:val="auto"/>
                <w:kern w:val="0"/>
                <w:sz w:val="24"/>
                <w:highlight w:val="none"/>
              </w:rPr>
              <w:t>）、工业企业建筑淋浴最高用水定额为40L-60L/（人·</w:t>
            </w:r>
            <w:r>
              <w:rPr>
                <w:rFonts w:hint="default" w:ascii="Times New Roman" w:hAnsi="Times New Roman" w:eastAsia="宋体" w:cs="Times New Roman"/>
                <w:snapToGrid w:val="0"/>
                <w:color w:val="auto"/>
                <w:kern w:val="0"/>
                <w:sz w:val="24"/>
                <w:highlight w:val="none"/>
                <w:lang w:val="en-US" w:eastAsia="zh-CN"/>
              </w:rPr>
              <w:t>天</w:t>
            </w:r>
            <w:r>
              <w:rPr>
                <w:rFonts w:hint="default" w:ascii="Times New Roman" w:hAnsi="Times New Roman" w:eastAsia="宋体" w:cs="Times New Roman"/>
                <w:snapToGrid w:val="0"/>
                <w:color w:val="auto"/>
                <w:kern w:val="0"/>
                <w:sz w:val="24"/>
                <w:highlight w:val="none"/>
              </w:rPr>
              <w:t>）。本项目新增人员</w:t>
            </w:r>
            <w:r>
              <w:rPr>
                <w:rFonts w:hint="eastAsia" w:cs="Times New Roman"/>
                <w:snapToGrid w:val="0"/>
                <w:color w:val="auto"/>
                <w:kern w:val="0"/>
                <w:sz w:val="24"/>
                <w:highlight w:val="none"/>
                <w:lang w:val="en-US" w:eastAsia="zh-CN"/>
              </w:rPr>
              <w:t>19</w:t>
            </w:r>
            <w:r>
              <w:rPr>
                <w:rFonts w:hint="default" w:ascii="Times New Roman" w:hAnsi="Times New Roman" w:eastAsia="宋体" w:cs="Times New Roman"/>
                <w:snapToGrid w:val="0"/>
                <w:color w:val="auto"/>
                <w:kern w:val="0"/>
                <w:sz w:val="24"/>
                <w:highlight w:val="none"/>
              </w:rPr>
              <w:t>人，年工作</w:t>
            </w:r>
            <w:r>
              <w:rPr>
                <w:rFonts w:hint="default" w:ascii="Times New Roman" w:hAnsi="Times New Roman" w:eastAsia="宋体" w:cs="Times New Roman"/>
                <w:snapToGrid w:val="0"/>
                <w:color w:val="auto"/>
                <w:kern w:val="0"/>
                <w:sz w:val="24"/>
                <w:highlight w:val="none"/>
                <w:lang w:val="en-US" w:eastAsia="zh-CN"/>
              </w:rPr>
              <w:t>3</w:t>
            </w:r>
            <w:r>
              <w:rPr>
                <w:rFonts w:hint="eastAsia" w:cs="Times New Roman"/>
                <w:snapToGrid w:val="0"/>
                <w:color w:val="auto"/>
                <w:kern w:val="0"/>
                <w:sz w:val="24"/>
                <w:highlight w:val="none"/>
                <w:lang w:val="en-US" w:eastAsia="zh-CN"/>
              </w:rPr>
              <w:t>60</w:t>
            </w:r>
            <w:r>
              <w:rPr>
                <w:rFonts w:hint="default" w:ascii="Times New Roman" w:hAnsi="Times New Roman" w:eastAsia="宋体" w:cs="Times New Roman"/>
                <w:snapToGrid w:val="0"/>
                <w:color w:val="auto"/>
                <w:kern w:val="0"/>
                <w:sz w:val="24"/>
                <w:highlight w:val="none"/>
              </w:rPr>
              <w:t>天</w:t>
            </w:r>
            <w:r>
              <w:rPr>
                <w:rFonts w:hint="default" w:ascii="Times New Roman" w:hAnsi="Times New Roman" w:eastAsia="宋体" w:cs="Times New Roman"/>
                <w:snapToGrid w:val="0"/>
                <w:color w:val="auto"/>
                <w:kern w:val="0"/>
                <w:sz w:val="24"/>
                <w:highlight w:val="none"/>
                <w:lang w:eastAsia="zh-CN"/>
              </w:rPr>
              <w:t>。</w:t>
            </w:r>
            <w:r>
              <w:rPr>
                <w:rFonts w:hint="default" w:ascii="Times New Roman" w:hAnsi="Times New Roman" w:eastAsia="宋体" w:cs="Times New Roman"/>
                <w:snapToGrid w:val="0"/>
                <w:color w:val="auto"/>
                <w:kern w:val="0"/>
                <w:sz w:val="24"/>
                <w:highlight w:val="none"/>
                <w:lang w:val="en-US" w:eastAsia="zh-CN"/>
              </w:rPr>
              <w:t>厂区内设有食堂</w:t>
            </w:r>
            <w:r>
              <w:rPr>
                <w:rFonts w:hint="default" w:ascii="Times New Roman" w:hAnsi="Times New Roman" w:eastAsia="宋体" w:cs="Times New Roman"/>
                <w:snapToGrid w:val="0"/>
                <w:color w:val="auto"/>
                <w:kern w:val="0"/>
                <w:sz w:val="24"/>
                <w:highlight w:val="none"/>
              </w:rPr>
              <w:t>，本项目生活用水</w:t>
            </w:r>
            <w:r>
              <w:rPr>
                <w:rFonts w:hint="default" w:ascii="Times New Roman" w:hAnsi="Times New Roman" w:eastAsia="宋体" w:cs="Times New Roman"/>
                <w:snapToGrid w:val="0"/>
                <w:color w:val="auto"/>
                <w:kern w:val="0"/>
                <w:sz w:val="24"/>
                <w:highlight w:val="none"/>
                <w:lang w:val="en-US" w:eastAsia="zh-CN"/>
              </w:rPr>
              <w:t>按</w:t>
            </w:r>
            <w:r>
              <w:rPr>
                <w:rFonts w:hint="eastAsia" w:cs="Times New Roman"/>
                <w:snapToGrid w:val="0"/>
                <w:color w:val="auto"/>
                <w:kern w:val="0"/>
                <w:sz w:val="24"/>
                <w:highlight w:val="none"/>
                <w:lang w:val="en-US" w:eastAsia="zh-CN"/>
              </w:rPr>
              <w:t>50</w:t>
            </w:r>
            <w:r>
              <w:rPr>
                <w:rFonts w:hint="default" w:ascii="Times New Roman" w:hAnsi="Times New Roman" w:eastAsia="宋体" w:cs="Times New Roman"/>
                <w:snapToGrid w:val="0"/>
                <w:color w:val="auto"/>
                <w:kern w:val="0"/>
                <w:sz w:val="24"/>
                <w:highlight w:val="none"/>
                <w:lang w:val="en-US" w:eastAsia="zh-CN"/>
              </w:rPr>
              <w:t>L/（人</w:t>
            </w: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天）计，</w:t>
            </w:r>
            <w:r>
              <w:rPr>
                <w:rFonts w:hint="default" w:ascii="Times New Roman" w:hAnsi="Times New Roman" w:eastAsia="宋体" w:cs="Times New Roman"/>
                <w:snapToGrid w:val="0"/>
                <w:color w:val="auto"/>
                <w:kern w:val="0"/>
                <w:sz w:val="24"/>
                <w:highlight w:val="none"/>
              </w:rPr>
              <w:t>淋浴用水</w:t>
            </w:r>
            <w:r>
              <w:rPr>
                <w:rFonts w:hint="eastAsia" w:cs="Times New Roman"/>
                <w:snapToGrid w:val="0"/>
                <w:color w:val="auto"/>
                <w:kern w:val="0"/>
                <w:sz w:val="24"/>
                <w:highlight w:val="none"/>
                <w:lang w:val="en-US" w:eastAsia="zh-CN"/>
              </w:rPr>
              <w:t>按</w:t>
            </w:r>
            <w:r>
              <w:rPr>
                <w:rFonts w:hint="default" w:ascii="Times New Roman" w:hAnsi="Times New Roman" w:eastAsia="宋体" w:cs="Times New Roman"/>
                <w:snapToGrid w:val="0"/>
                <w:color w:val="auto"/>
                <w:kern w:val="0"/>
                <w:sz w:val="24"/>
                <w:highlight w:val="none"/>
              </w:rPr>
              <w:t>60L/（人·</w:t>
            </w:r>
            <w:r>
              <w:rPr>
                <w:rFonts w:hint="default" w:ascii="Times New Roman" w:hAnsi="Times New Roman" w:eastAsia="宋体" w:cs="Times New Roman"/>
                <w:snapToGrid w:val="0"/>
                <w:color w:val="auto"/>
                <w:kern w:val="0"/>
                <w:sz w:val="24"/>
                <w:highlight w:val="none"/>
                <w:lang w:val="en-US" w:eastAsia="zh-CN"/>
              </w:rPr>
              <w:t>天</w:t>
            </w:r>
            <w:r>
              <w:rPr>
                <w:rFonts w:hint="default" w:ascii="Times New Roman" w:hAnsi="Times New Roman" w:eastAsia="宋体" w:cs="Times New Roman"/>
                <w:snapToGrid w:val="0"/>
                <w:color w:val="auto"/>
                <w:kern w:val="0"/>
                <w:sz w:val="24"/>
                <w:highlight w:val="none"/>
              </w:rPr>
              <w:t>）值计算，则新增生活用水</w:t>
            </w:r>
            <w:r>
              <w:rPr>
                <w:rFonts w:hint="eastAsia" w:cs="Times New Roman"/>
                <w:snapToGrid w:val="0"/>
                <w:color w:val="auto"/>
                <w:kern w:val="0"/>
                <w:sz w:val="24"/>
                <w:highlight w:val="none"/>
                <w:lang w:val="en-US" w:eastAsia="zh-CN"/>
              </w:rPr>
              <w:t>753</w:t>
            </w:r>
            <w:r>
              <w:rPr>
                <w:rFonts w:hint="default" w:ascii="Times New Roman" w:hAnsi="Times New Roman" w:eastAsia="宋体" w:cs="Times New Roman"/>
                <w:snapToGrid w:val="0"/>
                <w:color w:val="auto"/>
                <w:kern w:val="0"/>
                <w:sz w:val="24"/>
                <w:highlight w:val="none"/>
              </w:rPr>
              <w:t>t/a，损耗按15%计，则新增生活污水</w:t>
            </w:r>
            <w:r>
              <w:rPr>
                <w:rFonts w:hint="eastAsia" w:cs="Times New Roman"/>
                <w:snapToGrid w:val="0"/>
                <w:color w:val="auto"/>
                <w:kern w:val="0"/>
                <w:sz w:val="24"/>
                <w:highlight w:val="none"/>
                <w:lang w:val="en-US" w:eastAsia="zh-CN"/>
              </w:rPr>
              <w:t>640</w:t>
            </w:r>
            <w:r>
              <w:rPr>
                <w:rFonts w:hint="default" w:ascii="Times New Roman" w:hAnsi="Times New Roman" w:eastAsia="宋体" w:cs="Times New Roman"/>
                <w:snapToGrid w:val="0"/>
                <w:color w:val="auto"/>
                <w:kern w:val="0"/>
                <w:sz w:val="24"/>
                <w:highlight w:val="none"/>
              </w:rPr>
              <w:t>/a。</w:t>
            </w:r>
          </w:p>
          <w:p>
            <w:pPr>
              <w:keepNext w:val="0"/>
              <w:keepLines w:val="0"/>
              <w:pageBreakBefore w:val="0"/>
              <w:widowControl w:val="0"/>
              <w:kinsoku/>
              <w:wordWrap/>
              <w:overflowPunct/>
              <w:topLinePunct w:val="0"/>
              <w:autoSpaceDE/>
              <w:autoSpaceDN/>
              <w:bidi w:val="0"/>
              <w:adjustRightInd w:val="0"/>
              <w:snapToGrid w:val="0"/>
              <w:spacing w:line="460" w:lineRule="exact"/>
              <w:ind w:firstLine="435"/>
              <w:textAlignment w:val="auto"/>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2）</w:t>
            </w:r>
            <w:r>
              <w:rPr>
                <w:rFonts w:hint="eastAsia" w:cs="Times New Roman"/>
                <w:snapToGrid w:val="0"/>
                <w:color w:val="auto"/>
                <w:kern w:val="0"/>
                <w:sz w:val="24"/>
                <w:highlight w:val="none"/>
                <w:lang w:val="en-US" w:eastAsia="zh-CN"/>
              </w:rPr>
              <w:t>生产</w:t>
            </w:r>
            <w:r>
              <w:rPr>
                <w:rFonts w:hint="default" w:ascii="Times New Roman" w:hAnsi="Times New Roman" w:eastAsia="宋体" w:cs="Times New Roman"/>
                <w:snapToGrid w:val="0"/>
                <w:color w:val="auto"/>
                <w:kern w:val="0"/>
                <w:sz w:val="24"/>
                <w:highlight w:val="none"/>
              </w:rPr>
              <w:t>用水</w:t>
            </w:r>
          </w:p>
          <w:p>
            <w:pPr>
              <w:keepNext w:val="0"/>
              <w:keepLines w:val="0"/>
              <w:pageBreakBefore w:val="0"/>
              <w:widowControl w:val="0"/>
              <w:kinsoku/>
              <w:wordWrap/>
              <w:overflowPunct/>
              <w:topLinePunct w:val="0"/>
              <w:autoSpaceDE/>
              <w:autoSpaceDN/>
              <w:bidi w:val="0"/>
              <w:adjustRightInd w:val="0"/>
              <w:snapToGrid w:val="0"/>
              <w:spacing w:line="460" w:lineRule="exact"/>
              <w:ind w:firstLine="435"/>
              <w:textAlignment w:val="auto"/>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本项目生产过程涉及用水的环节</w:t>
            </w:r>
            <w:r>
              <w:rPr>
                <w:rFonts w:hint="default" w:ascii="Times New Roman" w:hAnsi="Times New Roman" w:eastAsia="宋体" w:cs="Times New Roman"/>
                <w:snapToGrid w:val="0"/>
                <w:color w:val="auto"/>
                <w:kern w:val="0"/>
                <w:sz w:val="24"/>
                <w:highlight w:val="none"/>
                <w:lang w:val="en-US" w:eastAsia="zh-CN"/>
              </w:rPr>
              <w:t>为</w:t>
            </w:r>
            <w:r>
              <w:rPr>
                <w:rFonts w:hint="eastAsia" w:cs="Times New Roman"/>
                <w:snapToGrid w:val="0"/>
                <w:color w:val="auto"/>
                <w:kern w:val="0"/>
                <w:sz w:val="24"/>
                <w:highlight w:val="none"/>
                <w:lang w:val="en-US" w:eastAsia="zh-CN"/>
              </w:rPr>
              <w:t>硝酸钠配置用水、清洗剂5088配置用水。</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Times New Roman" w:hAnsi="Times New Roman" w:cs="Times New Roman"/>
                <w:snapToGrid w:val="0"/>
                <w:color w:val="auto"/>
                <w:kern w:val="0"/>
                <w:sz w:val="24"/>
                <w:highlight w:val="none"/>
                <w:lang w:val="en-US" w:eastAsia="zh-CN"/>
              </w:rPr>
            </w:pPr>
            <w:r>
              <w:rPr>
                <w:rFonts w:hint="default" w:ascii="Times New Roman" w:hAnsi="Times New Roman" w:eastAsia="宋体" w:cs="Times New Roman"/>
                <w:snapToGrid w:val="0"/>
                <w:color w:val="auto"/>
                <w:kern w:val="0"/>
                <w:sz w:val="24"/>
                <w:highlight w:val="none"/>
                <w:lang w:val="en-US" w:eastAsia="zh-CN"/>
              </w:rPr>
              <w:t>①硝酸钠配置用水：</w:t>
            </w:r>
            <w:r>
              <w:rPr>
                <w:rFonts w:hint="eastAsia" w:cs="Times New Roman"/>
                <w:snapToGrid w:val="0"/>
                <w:color w:val="auto"/>
                <w:kern w:val="0"/>
                <w:sz w:val="24"/>
                <w:highlight w:val="none"/>
                <w:lang w:val="en-US" w:eastAsia="zh-CN"/>
              </w:rPr>
              <w:t>本项目硝酸钠固体与纯水配比后使用，</w:t>
            </w:r>
            <w:r>
              <w:rPr>
                <w:rFonts w:hint="default" w:ascii="Times New Roman" w:hAnsi="Times New Roman" w:eastAsia="宋体" w:cs="Times New Roman"/>
                <w:snapToGrid w:val="0"/>
                <w:color w:val="auto"/>
                <w:kern w:val="0"/>
                <w:sz w:val="24"/>
                <w:highlight w:val="none"/>
                <w:lang w:val="en-US" w:eastAsia="zh-CN"/>
              </w:rPr>
              <w:t>硝酸钠溶液</w:t>
            </w:r>
            <w:r>
              <w:rPr>
                <w:rFonts w:hint="eastAsia" w:cs="Times New Roman"/>
                <w:snapToGrid w:val="0"/>
                <w:color w:val="auto"/>
                <w:kern w:val="0"/>
                <w:sz w:val="24"/>
                <w:highlight w:val="none"/>
                <w:lang w:val="en-US" w:eastAsia="zh-CN"/>
              </w:rPr>
              <w:t>配置</w:t>
            </w:r>
            <w:r>
              <w:rPr>
                <w:rFonts w:hint="default" w:ascii="Times New Roman" w:hAnsi="Times New Roman" w:eastAsia="宋体" w:cs="Times New Roman"/>
                <w:snapToGrid w:val="0"/>
                <w:color w:val="auto"/>
                <w:kern w:val="0"/>
                <w:sz w:val="24"/>
                <w:highlight w:val="none"/>
                <w:lang w:val="en-US" w:eastAsia="zh-CN"/>
              </w:rPr>
              <w:t>溶度</w:t>
            </w:r>
            <w:r>
              <w:rPr>
                <w:rFonts w:hint="eastAsia"/>
                <w:color w:val="auto"/>
                <w:lang w:val="en-US" w:eastAsia="zh-CN"/>
              </w:rPr>
              <w:t>约</w:t>
            </w:r>
            <w:r>
              <w:rPr>
                <w:rFonts w:hint="default" w:ascii="Times New Roman" w:hAnsi="Times New Roman" w:eastAsia="宋体" w:cs="Times New Roman"/>
                <w:snapToGrid w:val="0"/>
                <w:color w:val="auto"/>
                <w:kern w:val="0"/>
                <w:sz w:val="24"/>
                <w:highlight w:val="none"/>
                <w:lang w:val="en-US" w:eastAsia="zh-CN"/>
              </w:rPr>
              <w:t>为22%，</w:t>
            </w:r>
            <w:r>
              <w:rPr>
                <w:rFonts w:hint="eastAsia" w:ascii="Times New Roman" w:hAnsi="Times New Roman" w:cs="Times New Roman"/>
                <w:snapToGrid w:val="0"/>
                <w:color w:val="auto"/>
                <w:kern w:val="0"/>
                <w:sz w:val="24"/>
                <w:highlight w:val="none"/>
                <w:lang w:val="en-US" w:eastAsia="zh-CN"/>
              </w:rPr>
              <w:t>本项目碳酸钠使用量为1.5t/a</w:t>
            </w:r>
            <w:r>
              <w:rPr>
                <w:rFonts w:hint="eastAsia" w:cs="Times New Roman"/>
                <w:snapToGrid w:val="0"/>
                <w:color w:val="auto"/>
                <w:kern w:val="0"/>
                <w:sz w:val="24"/>
                <w:highlight w:val="none"/>
                <w:lang w:val="en-US" w:eastAsia="zh-CN"/>
              </w:rPr>
              <w:t>，</w:t>
            </w:r>
            <w:r>
              <w:rPr>
                <w:rFonts w:hint="eastAsia" w:ascii="Times New Roman" w:hAnsi="Times New Roman" w:cs="Times New Roman"/>
                <w:snapToGrid w:val="0"/>
                <w:color w:val="auto"/>
                <w:kern w:val="0"/>
                <w:sz w:val="24"/>
                <w:highlight w:val="none"/>
                <w:lang w:val="en-US" w:eastAsia="zh-CN"/>
              </w:rPr>
              <w:t>则配置纯水量为</w:t>
            </w:r>
            <w:r>
              <w:rPr>
                <w:rFonts w:hint="eastAsia" w:cs="Times New Roman"/>
                <w:snapToGrid w:val="0"/>
                <w:color w:val="auto"/>
                <w:kern w:val="0"/>
                <w:sz w:val="24"/>
                <w:highlight w:val="none"/>
                <w:lang w:val="en-US" w:eastAsia="zh-CN"/>
              </w:rPr>
              <w:t>5</w:t>
            </w:r>
            <w:r>
              <w:rPr>
                <w:rFonts w:hint="eastAsia" w:ascii="Times New Roman" w:hAnsi="Times New Roman" w:cs="Times New Roman"/>
                <w:snapToGrid w:val="0"/>
                <w:color w:val="auto"/>
                <w:kern w:val="0"/>
                <w:sz w:val="24"/>
                <w:highlight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s="Times New Roman"/>
                <w:snapToGrid w:val="0"/>
                <w:color w:val="auto"/>
                <w:kern w:val="0"/>
                <w:sz w:val="24"/>
                <w:highlight w:val="none"/>
                <w:lang w:val="en-US"/>
              </w:rPr>
            </w:pPr>
            <w:r>
              <w:rPr>
                <w:rFonts w:hint="default" w:ascii="Times New Roman" w:hAnsi="Times New Roman" w:eastAsia="宋体" w:cs="Times New Roman"/>
                <w:snapToGrid w:val="0"/>
                <w:color w:val="auto"/>
                <w:kern w:val="0"/>
                <w:sz w:val="24"/>
                <w:highlight w:val="none"/>
              </w:rPr>
              <w:t>②</w:t>
            </w:r>
            <w:r>
              <w:rPr>
                <w:rFonts w:hint="eastAsia" w:ascii="Times New Roman" w:hAnsi="Times New Roman" w:cs="Times New Roman"/>
                <w:snapToGrid w:val="0"/>
                <w:color w:val="auto"/>
                <w:kern w:val="0"/>
                <w:sz w:val="24"/>
                <w:highlight w:val="none"/>
                <w:lang w:val="en-US" w:eastAsia="zh-CN"/>
              </w:rPr>
              <w:t>清洗剂</w:t>
            </w:r>
            <w:r>
              <w:rPr>
                <w:rFonts w:hint="eastAsia" w:cs="Times New Roman"/>
                <w:snapToGrid w:val="0"/>
                <w:color w:val="auto"/>
                <w:kern w:val="0"/>
                <w:sz w:val="24"/>
                <w:highlight w:val="none"/>
                <w:lang w:val="en-US" w:eastAsia="zh-CN"/>
              </w:rPr>
              <w:t>5088</w:t>
            </w:r>
            <w:r>
              <w:rPr>
                <w:rFonts w:hint="eastAsia" w:ascii="Times New Roman" w:hAnsi="Times New Roman" w:cs="Times New Roman"/>
                <w:snapToGrid w:val="0"/>
                <w:color w:val="auto"/>
                <w:kern w:val="0"/>
                <w:sz w:val="24"/>
                <w:highlight w:val="none"/>
                <w:lang w:val="en-US" w:eastAsia="zh-CN"/>
              </w:rPr>
              <w:t>配置用水：</w:t>
            </w:r>
            <w:r>
              <w:rPr>
                <w:rFonts w:hint="eastAsia" w:cs="Times New Roman"/>
                <w:snapToGrid w:val="0"/>
                <w:color w:val="auto"/>
                <w:kern w:val="0"/>
                <w:sz w:val="24"/>
                <w:highlight w:val="none"/>
                <w:lang w:val="en-US" w:eastAsia="zh-CN"/>
              </w:rPr>
              <w:t>本项目清洗剂中设有三个水缸，容积均为700L，三个水缸中清洗剂5088的配置浓度均为1%，每2周更换一次，产生的废水进入厂区污水处理站处理。清洗剂5088的用量为0.5t/a，因此配置纯水量为50t/a，损耗量仅考虑纯水的挥发，挥发量以15%计（7.5t/a），最终产生清洗废水43t/a。</w:t>
            </w:r>
          </w:p>
          <w:p>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综上：本项目</w:t>
            </w:r>
            <w:r>
              <w:rPr>
                <w:rFonts w:hint="eastAsia" w:cs="Times New Roman"/>
                <w:b/>
                <w:snapToGrid w:val="0"/>
                <w:color w:val="auto"/>
                <w:kern w:val="0"/>
                <w:sz w:val="24"/>
                <w:highlight w:val="none"/>
                <w:lang w:val="en-US" w:eastAsia="zh-CN"/>
              </w:rPr>
              <w:t>生产用水</w:t>
            </w:r>
            <w:r>
              <w:rPr>
                <w:rFonts w:hint="default" w:ascii="Times New Roman" w:hAnsi="Times New Roman" w:eastAsia="宋体" w:cs="Times New Roman"/>
                <w:b/>
                <w:snapToGrid w:val="0"/>
                <w:color w:val="auto"/>
                <w:kern w:val="0"/>
                <w:sz w:val="24"/>
                <w:highlight w:val="none"/>
              </w:rPr>
              <w:t>供给使用新鲜纯水量为</w:t>
            </w:r>
            <w:r>
              <w:rPr>
                <w:rFonts w:hint="eastAsia" w:cs="Times New Roman"/>
                <w:b/>
                <w:snapToGrid w:val="0"/>
                <w:color w:val="auto"/>
                <w:kern w:val="0"/>
                <w:sz w:val="24"/>
                <w:highlight w:val="none"/>
                <w:lang w:val="en-US" w:eastAsia="zh-CN"/>
              </w:rPr>
              <w:t>55</w:t>
            </w:r>
            <w:r>
              <w:rPr>
                <w:rFonts w:hint="default" w:ascii="Times New Roman" w:hAnsi="Times New Roman" w:eastAsia="宋体" w:cs="Times New Roman"/>
                <w:b/>
                <w:snapToGrid w:val="0"/>
                <w:color w:val="auto"/>
                <w:kern w:val="0"/>
                <w:sz w:val="24"/>
                <w:highlight w:val="none"/>
              </w:rPr>
              <w:t>t/a，产生清洗废水</w:t>
            </w:r>
            <w:r>
              <w:rPr>
                <w:rFonts w:hint="eastAsia" w:cs="Times New Roman"/>
                <w:b/>
                <w:snapToGrid w:val="0"/>
                <w:color w:val="auto"/>
                <w:kern w:val="0"/>
                <w:sz w:val="24"/>
                <w:highlight w:val="none"/>
                <w:lang w:eastAsia="zh-CN"/>
              </w:rPr>
              <w:t>（</w:t>
            </w:r>
            <w:r>
              <w:rPr>
                <w:rFonts w:hint="eastAsia" w:cs="Times New Roman"/>
                <w:b/>
                <w:snapToGrid w:val="0"/>
                <w:color w:val="auto"/>
                <w:kern w:val="0"/>
                <w:sz w:val="24"/>
                <w:highlight w:val="none"/>
                <w:lang w:val="en-US" w:eastAsia="zh-CN"/>
              </w:rPr>
              <w:t>W</w:t>
            </w:r>
            <w:r>
              <w:rPr>
                <w:rFonts w:hint="eastAsia" w:cs="Times New Roman"/>
                <w:b/>
                <w:snapToGrid w:val="0"/>
                <w:color w:val="auto"/>
                <w:kern w:val="0"/>
                <w:sz w:val="24"/>
                <w:highlight w:val="none"/>
                <w:vertAlign w:val="subscript"/>
                <w:lang w:val="en-US" w:eastAsia="zh-CN"/>
              </w:rPr>
              <w:t>1</w:t>
            </w:r>
            <w:r>
              <w:rPr>
                <w:rFonts w:hint="eastAsia" w:cs="Times New Roman"/>
                <w:b/>
                <w:snapToGrid w:val="0"/>
                <w:color w:val="auto"/>
                <w:kern w:val="0"/>
                <w:sz w:val="24"/>
                <w:highlight w:val="none"/>
                <w:lang w:val="en-US" w:eastAsia="zh-CN"/>
              </w:rPr>
              <w:t>）总</w:t>
            </w:r>
            <w:r>
              <w:rPr>
                <w:rFonts w:hint="default" w:ascii="Times New Roman" w:hAnsi="Times New Roman" w:eastAsia="宋体" w:cs="Times New Roman"/>
                <w:b/>
                <w:snapToGrid w:val="0"/>
                <w:color w:val="auto"/>
                <w:kern w:val="0"/>
                <w:sz w:val="24"/>
                <w:highlight w:val="none"/>
              </w:rPr>
              <w:t>量为</w:t>
            </w:r>
            <w:r>
              <w:rPr>
                <w:rFonts w:hint="eastAsia" w:cs="Times New Roman"/>
                <w:b/>
                <w:snapToGrid w:val="0"/>
                <w:color w:val="auto"/>
                <w:kern w:val="0"/>
                <w:sz w:val="24"/>
                <w:highlight w:val="none"/>
                <w:lang w:val="en-US" w:eastAsia="zh-CN"/>
              </w:rPr>
              <w:t>43</w:t>
            </w:r>
            <w:r>
              <w:rPr>
                <w:rFonts w:hint="default" w:ascii="Times New Roman" w:hAnsi="Times New Roman" w:eastAsia="宋体" w:cs="Times New Roman"/>
                <w:b/>
                <w:snapToGrid w:val="0"/>
                <w:color w:val="auto"/>
                <w:kern w:val="0"/>
                <w:sz w:val="24"/>
                <w:highlight w:val="none"/>
              </w:rPr>
              <w:t>t/a。</w:t>
            </w:r>
          </w:p>
          <w:p>
            <w:pPr>
              <w:keepNext w:val="0"/>
              <w:keepLines w:val="0"/>
              <w:pageBreakBefore w:val="0"/>
              <w:widowControl w:val="0"/>
              <w:tabs>
                <w:tab w:val="left" w:pos="3319"/>
              </w:tabs>
              <w:kinsoku/>
              <w:wordWrap/>
              <w:overflowPunct/>
              <w:topLinePunct w:val="0"/>
              <w:autoSpaceDE/>
              <w:autoSpaceDN/>
              <w:bidi w:val="0"/>
              <w:adjustRightInd w:val="0"/>
              <w:snapToGrid w:val="0"/>
              <w:spacing w:line="460" w:lineRule="exact"/>
              <w:ind w:firstLine="480" w:firstLineChars="200"/>
              <w:textAlignment w:val="auto"/>
              <w:rPr>
                <w:rFonts w:hint="default" w:eastAsia="宋体"/>
                <w:snapToGrid w:val="0"/>
                <w:color w:val="auto"/>
                <w:kern w:val="0"/>
                <w:sz w:val="24"/>
                <w:highlight w:val="none"/>
                <w:lang w:val="en-US" w:eastAsia="zh-CN"/>
              </w:rPr>
            </w:pPr>
            <w:r>
              <w:rPr>
                <w:rFonts w:hint="eastAsia"/>
                <w:snapToGrid w:val="0"/>
                <w:color w:val="auto"/>
                <w:kern w:val="0"/>
                <w:sz w:val="24"/>
                <w:highlight w:val="none"/>
                <w:lang w:val="en-US" w:eastAsia="zh-CN"/>
              </w:rPr>
              <w:t>3）软化水和纯水制备系统</w:t>
            </w:r>
          </w:p>
          <w:p>
            <w:pPr>
              <w:keepNext w:val="0"/>
              <w:keepLines w:val="0"/>
              <w:pageBreakBefore w:val="0"/>
              <w:widowControl w:val="0"/>
              <w:tabs>
                <w:tab w:val="left" w:pos="3319"/>
              </w:tabs>
              <w:kinsoku/>
              <w:wordWrap/>
              <w:overflowPunct/>
              <w:topLinePunct w:val="0"/>
              <w:autoSpaceDE/>
              <w:autoSpaceDN/>
              <w:bidi w:val="0"/>
              <w:adjustRightInd w:val="0"/>
              <w:snapToGrid w:val="0"/>
              <w:spacing w:line="460" w:lineRule="exact"/>
              <w:ind w:firstLine="480" w:firstLineChars="200"/>
              <w:textAlignment w:val="auto"/>
              <w:rPr>
                <w:rFonts w:hint="default"/>
                <w:snapToGrid w:val="0"/>
                <w:color w:val="auto"/>
                <w:kern w:val="0"/>
                <w:sz w:val="24"/>
                <w:highlight w:val="none"/>
              </w:rPr>
            </w:pPr>
            <w:r>
              <w:rPr>
                <w:rFonts w:hint="default"/>
                <w:snapToGrid w:val="0"/>
                <w:color w:val="auto"/>
                <w:kern w:val="0"/>
                <w:sz w:val="24"/>
                <w:highlight w:val="none"/>
              </w:rPr>
              <w:t>本项目生产过程使用纯水，采用自来水经软化和制纯后得到，类比新华路厂区实际情况，软化系统系统得水率约为97%，纯水系统得水率</w:t>
            </w:r>
            <w:r>
              <w:rPr>
                <w:rFonts w:hint="eastAsia"/>
                <w:snapToGrid w:val="0"/>
                <w:color w:val="auto"/>
                <w:kern w:val="0"/>
                <w:sz w:val="24"/>
                <w:highlight w:val="none"/>
                <w:lang w:val="en-US" w:eastAsia="zh-CN"/>
              </w:rPr>
              <w:t>60</w:t>
            </w:r>
            <w:r>
              <w:rPr>
                <w:rFonts w:hint="default"/>
                <w:snapToGrid w:val="0"/>
                <w:color w:val="auto"/>
                <w:kern w:val="0"/>
                <w:sz w:val="24"/>
                <w:highlight w:val="none"/>
              </w:rPr>
              <w:t>%。由上可知生产过程纯水用量为</w:t>
            </w:r>
            <w:r>
              <w:rPr>
                <w:rFonts w:hint="eastAsia"/>
                <w:snapToGrid w:val="0"/>
                <w:color w:val="auto"/>
                <w:kern w:val="0"/>
                <w:sz w:val="24"/>
                <w:highlight w:val="none"/>
                <w:lang w:val="en-US" w:eastAsia="zh-CN"/>
              </w:rPr>
              <w:t>55</w:t>
            </w:r>
            <w:r>
              <w:rPr>
                <w:rFonts w:hint="default"/>
                <w:snapToGrid w:val="0"/>
                <w:color w:val="auto"/>
                <w:kern w:val="0"/>
                <w:sz w:val="24"/>
                <w:highlight w:val="none"/>
              </w:rPr>
              <w:t>t/</w:t>
            </w:r>
            <w:r>
              <w:rPr>
                <w:rFonts w:hint="eastAsia"/>
                <w:snapToGrid w:val="0"/>
                <w:color w:val="auto"/>
                <w:kern w:val="0"/>
                <w:sz w:val="24"/>
                <w:highlight w:val="none"/>
                <w:lang w:val="en-US" w:eastAsia="zh-CN"/>
              </w:rPr>
              <w:t>a。因此，纯水55t/a的制备流程如下：自来水用量为95t/a，经软水制备系统</w:t>
            </w:r>
            <w:r>
              <w:rPr>
                <w:rFonts w:hint="default"/>
                <w:snapToGrid w:val="0"/>
                <w:color w:val="auto"/>
                <w:kern w:val="0"/>
                <w:sz w:val="24"/>
                <w:highlight w:val="none"/>
              </w:rPr>
              <w:t>，</w:t>
            </w:r>
            <w:r>
              <w:rPr>
                <w:rFonts w:hint="eastAsia"/>
                <w:snapToGrid w:val="0"/>
                <w:color w:val="auto"/>
                <w:kern w:val="0"/>
                <w:sz w:val="24"/>
                <w:highlight w:val="none"/>
                <w:lang w:val="en-US" w:eastAsia="zh-CN"/>
              </w:rPr>
              <w:t>产生软水92t/a，</w:t>
            </w:r>
            <w:r>
              <w:rPr>
                <w:rFonts w:hint="default"/>
                <w:snapToGrid w:val="0"/>
                <w:color w:val="auto"/>
                <w:kern w:val="0"/>
                <w:sz w:val="24"/>
                <w:highlight w:val="none"/>
              </w:rPr>
              <w:t>软水浓水</w:t>
            </w:r>
            <w:r>
              <w:rPr>
                <w:rFonts w:hint="eastAsia"/>
                <w:snapToGrid w:val="0"/>
                <w:color w:val="auto"/>
                <w:kern w:val="0"/>
                <w:sz w:val="24"/>
                <w:highlight w:val="none"/>
                <w:lang w:val="en-US" w:eastAsia="zh-CN"/>
              </w:rPr>
              <w:t>3</w:t>
            </w:r>
            <w:r>
              <w:rPr>
                <w:rFonts w:hint="default"/>
                <w:snapToGrid w:val="0"/>
                <w:color w:val="auto"/>
                <w:kern w:val="0"/>
                <w:sz w:val="24"/>
                <w:highlight w:val="none"/>
              </w:rPr>
              <w:t>t/a</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92t/a软水经纯水制备系统，产生纯水55t/a，RO浓水和反冲洗废水</w:t>
            </w:r>
            <w:r>
              <w:rPr>
                <w:rFonts w:hint="default"/>
                <w:snapToGrid w:val="0"/>
                <w:color w:val="auto"/>
                <w:kern w:val="0"/>
                <w:sz w:val="24"/>
                <w:highlight w:val="none"/>
              </w:rPr>
              <w:t>废水</w:t>
            </w:r>
            <w:r>
              <w:rPr>
                <w:rFonts w:hint="eastAsia"/>
                <w:snapToGrid w:val="0"/>
                <w:color w:val="auto"/>
                <w:kern w:val="0"/>
                <w:sz w:val="24"/>
                <w:highlight w:val="none"/>
                <w:lang w:val="en-US" w:eastAsia="zh-CN"/>
              </w:rPr>
              <w:t>37</w:t>
            </w:r>
            <w:r>
              <w:rPr>
                <w:rFonts w:hint="default"/>
                <w:snapToGrid w:val="0"/>
                <w:color w:val="auto"/>
                <w:kern w:val="0"/>
                <w:sz w:val="24"/>
                <w:highlight w:val="none"/>
              </w:rPr>
              <w:t>/a</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制软水废水（软水浓水）接管市政污水管网；制纯废水（RO浓水、RO反冲洗废水）经厂内中水回用系统处理后，回用于中水冷却塔，零排放</w:t>
            </w:r>
            <w:r>
              <w:rPr>
                <w:rFonts w:hint="default"/>
                <w:snapToGrid w:val="0"/>
                <w:color w:val="auto"/>
                <w:kern w:val="0"/>
                <w:sz w:val="24"/>
                <w:highlight w:val="none"/>
              </w:rPr>
              <w:t>。</w:t>
            </w:r>
          </w:p>
          <w:p>
            <w:pPr>
              <w:keepNext w:val="0"/>
              <w:keepLines w:val="0"/>
              <w:pageBreakBefore w:val="0"/>
              <w:widowControl w:val="0"/>
              <w:tabs>
                <w:tab w:val="left" w:pos="3319"/>
              </w:tabs>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s="Times New Roman"/>
                <w:snapToGrid w:val="0"/>
                <w:color w:val="auto"/>
                <w:kern w:val="0"/>
                <w:sz w:val="24"/>
                <w:highlight w:val="none"/>
              </w:rPr>
            </w:pPr>
            <w:r>
              <w:rPr>
                <w:rFonts w:hint="eastAsia" w:cs="Times New Roman"/>
                <w:snapToGrid w:val="0"/>
                <w:color w:val="auto"/>
                <w:kern w:val="0"/>
                <w:sz w:val="24"/>
                <w:highlight w:val="none"/>
                <w:lang w:val="en-US" w:eastAsia="zh-CN"/>
              </w:rPr>
              <w:t>4</w:t>
            </w:r>
            <w:r>
              <w:rPr>
                <w:rFonts w:hint="default" w:ascii="Times New Roman" w:hAnsi="Times New Roman" w:eastAsia="宋体" w:cs="Times New Roman"/>
                <w:snapToGrid w:val="0"/>
                <w:color w:val="auto"/>
                <w:kern w:val="0"/>
                <w:sz w:val="24"/>
                <w:highlight w:val="none"/>
              </w:rPr>
              <w:t>）污水处理站</w:t>
            </w:r>
          </w:p>
          <w:p>
            <w:pPr>
              <w:keepNext w:val="0"/>
              <w:keepLines w:val="0"/>
              <w:pageBreakBefore w:val="0"/>
              <w:widowControl w:val="0"/>
              <w:tabs>
                <w:tab w:val="left" w:pos="3319"/>
              </w:tabs>
              <w:kinsoku/>
              <w:wordWrap/>
              <w:overflowPunct/>
              <w:topLinePunct w:val="0"/>
              <w:autoSpaceDE/>
              <w:autoSpaceDN/>
              <w:bidi w:val="0"/>
              <w:adjustRightInd w:val="0"/>
              <w:snapToGrid w:val="0"/>
              <w:spacing w:line="460" w:lineRule="exact"/>
              <w:ind w:firstLine="435"/>
              <w:textAlignment w:val="auto"/>
              <w:rPr>
                <w:rFonts w:hint="default"/>
                <w:color w:val="auto"/>
                <w:lang w:val="en-US" w:eastAsia="zh-CN"/>
              </w:rPr>
            </w:pPr>
            <w:r>
              <w:rPr>
                <w:rFonts w:hint="default" w:ascii="Times New Roman" w:hAnsi="Times New Roman" w:eastAsia="宋体" w:cs="Times New Roman"/>
                <w:snapToGrid w:val="0"/>
                <w:color w:val="auto"/>
                <w:kern w:val="0"/>
                <w:sz w:val="24"/>
                <w:highlight w:val="none"/>
              </w:rPr>
              <w:t>综上，本项目进入</w:t>
            </w:r>
            <w:r>
              <w:rPr>
                <w:rFonts w:hint="eastAsia" w:cs="Times New Roman"/>
                <w:snapToGrid w:val="0"/>
                <w:color w:val="auto"/>
                <w:kern w:val="0"/>
                <w:sz w:val="24"/>
                <w:highlight w:val="none"/>
                <w:lang w:val="en-US" w:eastAsia="zh-CN"/>
              </w:rPr>
              <w:t>污</w:t>
            </w:r>
            <w:r>
              <w:rPr>
                <w:rFonts w:hint="default" w:ascii="Times New Roman" w:hAnsi="Times New Roman" w:eastAsia="宋体" w:cs="Times New Roman"/>
                <w:snapToGrid w:val="0"/>
                <w:color w:val="auto"/>
                <w:kern w:val="0"/>
                <w:sz w:val="24"/>
                <w:highlight w:val="none"/>
              </w:rPr>
              <w:t>水处理站的</w:t>
            </w:r>
            <w:r>
              <w:rPr>
                <w:rFonts w:hint="eastAsia" w:cs="Times New Roman"/>
                <w:snapToGrid w:val="0"/>
                <w:color w:val="auto"/>
                <w:kern w:val="0"/>
                <w:sz w:val="24"/>
                <w:highlight w:val="none"/>
                <w:lang w:val="en-US" w:eastAsia="zh-CN"/>
              </w:rPr>
              <w:t>工艺废水</w:t>
            </w:r>
            <w:r>
              <w:rPr>
                <w:rFonts w:hint="default" w:ascii="Times New Roman" w:hAnsi="Times New Roman" w:eastAsia="宋体" w:cs="Times New Roman"/>
                <w:snapToGrid w:val="0"/>
                <w:color w:val="auto"/>
                <w:kern w:val="0"/>
                <w:sz w:val="24"/>
                <w:highlight w:val="none"/>
              </w:rPr>
              <w:t>量为</w:t>
            </w:r>
            <w:r>
              <w:rPr>
                <w:rFonts w:hint="eastAsia" w:cs="Times New Roman"/>
                <w:snapToGrid w:val="0"/>
                <w:color w:val="auto"/>
                <w:kern w:val="0"/>
                <w:sz w:val="24"/>
                <w:highlight w:val="none"/>
                <w:lang w:val="en-US" w:eastAsia="zh-CN"/>
              </w:rPr>
              <w:t>43</w:t>
            </w:r>
            <w:r>
              <w:rPr>
                <w:rFonts w:hint="default" w:ascii="Times New Roman" w:hAnsi="Times New Roman" w:eastAsia="宋体" w:cs="Times New Roman"/>
                <w:snapToGrid w:val="0"/>
                <w:color w:val="auto"/>
                <w:kern w:val="0"/>
                <w:sz w:val="24"/>
                <w:highlight w:val="none"/>
              </w:rPr>
              <w:t>t/a</w:t>
            </w:r>
            <w:r>
              <w:rPr>
                <w:rFonts w:hint="default" w:ascii="Times New Roman" w:hAnsi="Times New Roman" w:eastAsia="宋体" w:cs="Times New Roman"/>
                <w:snapToGrid w:val="0"/>
                <w:color w:val="auto"/>
                <w:kern w:val="0"/>
                <w:sz w:val="24"/>
                <w:highlight w:val="none"/>
                <w:lang w:eastAsia="zh-CN"/>
              </w:rPr>
              <w:t>。</w:t>
            </w:r>
            <w:r>
              <w:rPr>
                <w:rFonts w:hint="eastAsia" w:cs="Times New Roman"/>
                <w:snapToGrid w:val="0"/>
                <w:color w:val="auto"/>
                <w:kern w:val="0"/>
                <w:sz w:val="24"/>
                <w:highlight w:val="none"/>
                <w:lang w:val="en-US" w:eastAsia="zh-CN"/>
              </w:rPr>
              <w:t>污水</w:t>
            </w:r>
            <w:r>
              <w:rPr>
                <w:rFonts w:hint="default" w:ascii="Times New Roman" w:hAnsi="Times New Roman" w:eastAsia="宋体" w:cs="Times New Roman"/>
                <w:snapToGrid w:val="0"/>
                <w:color w:val="auto"/>
                <w:kern w:val="0"/>
                <w:sz w:val="24"/>
                <w:highlight w:val="none"/>
              </w:rPr>
              <w:t>处理站采用</w:t>
            </w:r>
            <w:r>
              <w:rPr>
                <w:rFonts w:hint="default" w:ascii="Times New Roman" w:hAnsi="Times New Roman" w:eastAsia="宋体" w:cs="Times New Roman"/>
                <w:snapToGrid w:val="0"/>
                <w:color w:val="auto"/>
                <w:kern w:val="0"/>
                <w:sz w:val="24"/>
                <w:highlight w:val="none"/>
                <w:lang w:eastAsia="zh-CN"/>
              </w:rPr>
              <w:t>“</w:t>
            </w:r>
            <w:r>
              <w:rPr>
                <w:rFonts w:hint="default" w:ascii="Times New Roman" w:hAnsi="Times New Roman" w:eastAsia="宋体" w:cs="Times New Roman"/>
                <w:snapToGrid w:val="0"/>
                <w:color w:val="auto"/>
                <w:kern w:val="0"/>
                <w:sz w:val="24"/>
                <w:highlight w:val="none"/>
                <w:lang w:val="en-US" w:eastAsia="zh-CN"/>
              </w:rPr>
              <w:t>离心分离</w:t>
            </w: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超滤</w:t>
            </w: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反硝化</w:t>
            </w: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硝化</w:t>
            </w: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生物超滤</w:t>
            </w: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生物转盘</w:t>
            </w: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沉淀</w:t>
            </w: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中和”</w:t>
            </w:r>
            <w:r>
              <w:rPr>
                <w:rFonts w:hint="default" w:ascii="Times New Roman" w:hAnsi="Times New Roman" w:eastAsia="宋体" w:cs="Times New Roman"/>
                <w:snapToGrid w:val="0"/>
                <w:color w:val="auto"/>
                <w:kern w:val="0"/>
                <w:sz w:val="24"/>
                <w:highlight w:val="none"/>
              </w:rPr>
              <w:t>的处理工艺</w:t>
            </w:r>
            <w:r>
              <w:rPr>
                <w:rFonts w:hint="default" w:ascii="Times New Roman" w:hAnsi="Times New Roman" w:eastAsia="宋体" w:cs="Times New Roman"/>
                <w:snapToGrid w:val="0"/>
                <w:color w:val="auto"/>
                <w:kern w:val="0"/>
                <w:sz w:val="24"/>
                <w:highlight w:val="none"/>
                <w:lang w:val="en-US" w:eastAsia="zh-CN"/>
              </w:rPr>
              <w:t>和“</w:t>
            </w:r>
            <w:r>
              <w:rPr>
                <w:rFonts w:hint="eastAsia" w:cs="Times New Roman"/>
                <w:snapToGrid w:val="0"/>
                <w:color w:val="auto"/>
                <w:kern w:val="0"/>
                <w:sz w:val="24"/>
                <w:highlight w:val="none"/>
                <w:lang w:val="en-US" w:eastAsia="zh-CN"/>
              </w:rPr>
              <w:t>砂滤</w:t>
            </w: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碳滤</w:t>
            </w: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UV杀菌</w:t>
            </w: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超滤</w:t>
            </w: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一级反渗透</w:t>
            </w: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二级反渗透”的中水回用装置</w:t>
            </w:r>
            <w:r>
              <w:rPr>
                <w:rFonts w:hint="default" w:ascii="Times New Roman" w:hAnsi="Times New Roman" w:eastAsia="宋体" w:cs="Times New Roman"/>
                <w:snapToGrid w:val="0"/>
                <w:color w:val="auto"/>
                <w:kern w:val="0"/>
                <w:sz w:val="24"/>
                <w:highlight w:val="none"/>
              </w:rPr>
              <w:t>，根据现有新华路厂区实际情况，</w:t>
            </w:r>
            <w:r>
              <w:rPr>
                <w:rFonts w:hint="eastAsia" w:cs="Times New Roman"/>
                <w:snapToGrid w:val="0"/>
                <w:color w:val="auto"/>
                <w:kern w:val="0"/>
                <w:sz w:val="24"/>
                <w:highlight w:val="none"/>
                <w:lang w:val="en-US" w:eastAsia="zh-CN"/>
              </w:rPr>
              <w:t>污水</w:t>
            </w:r>
            <w:r>
              <w:rPr>
                <w:rFonts w:hint="default" w:ascii="Times New Roman" w:hAnsi="Times New Roman" w:eastAsia="宋体" w:cs="Times New Roman"/>
                <w:snapToGrid w:val="0"/>
                <w:color w:val="auto"/>
                <w:kern w:val="0"/>
                <w:sz w:val="24"/>
                <w:highlight w:val="none"/>
              </w:rPr>
              <w:t>处理系统</w:t>
            </w:r>
            <w:r>
              <w:rPr>
                <w:rFonts w:hint="eastAsia" w:cs="Times New Roman"/>
                <w:snapToGrid w:val="0"/>
                <w:color w:val="auto"/>
                <w:kern w:val="0"/>
                <w:sz w:val="24"/>
                <w:highlight w:val="none"/>
                <w:lang w:val="en-US" w:eastAsia="zh-CN"/>
              </w:rPr>
              <w:t>蒸发损耗按15%计，</w:t>
            </w:r>
            <w:r>
              <w:rPr>
                <w:rFonts w:hint="default" w:ascii="Times New Roman" w:hAnsi="Times New Roman" w:eastAsia="宋体" w:cs="Times New Roman"/>
                <w:snapToGrid w:val="0"/>
                <w:color w:val="auto"/>
                <w:kern w:val="0"/>
                <w:sz w:val="24"/>
                <w:highlight w:val="none"/>
              </w:rPr>
              <w:t>得水率为</w:t>
            </w:r>
            <w:r>
              <w:rPr>
                <w:rFonts w:hint="eastAsia" w:cs="Times New Roman"/>
                <w:snapToGrid w:val="0"/>
                <w:color w:val="auto"/>
                <w:kern w:val="0"/>
                <w:sz w:val="24"/>
                <w:highlight w:val="none"/>
                <w:lang w:val="en-US" w:eastAsia="zh-CN"/>
              </w:rPr>
              <w:t>79</w:t>
            </w:r>
            <w:r>
              <w:rPr>
                <w:rFonts w:hint="default" w:ascii="Times New Roman" w:hAnsi="Times New Roman" w:eastAsia="宋体" w:cs="Times New Roman"/>
                <w:snapToGrid w:val="0"/>
                <w:color w:val="auto"/>
                <w:kern w:val="0"/>
                <w:sz w:val="24"/>
                <w:highlight w:val="none"/>
              </w:rPr>
              <w:t>%左右</w:t>
            </w:r>
            <w:r>
              <w:rPr>
                <w:rFonts w:hint="eastAsia" w:cs="Times New Roman"/>
                <w:snapToGrid w:val="0"/>
                <w:color w:val="auto"/>
                <w:kern w:val="0"/>
                <w:sz w:val="24"/>
                <w:highlight w:val="none"/>
                <w:lang w:eastAsia="zh-CN"/>
              </w:rPr>
              <w:t>，</w:t>
            </w:r>
            <w:r>
              <w:rPr>
                <w:rFonts w:hint="eastAsia" w:cs="Times New Roman"/>
                <w:snapToGrid w:val="0"/>
                <w:color w:val="auto"/>
                <w:kern w:val="0"/>
                <w:sz w:val="24"/>
                <w:highlight w:val="none"/>
                <w:lang w:val="en-US" w:eastAsia="zh-CN"/>
              </w:rPr>
              <w:t>污水站废液和污泥的产生量为6%，则</w:t>
            </w:r>
            <w:r>
              <w:rPr>
                <w:rFonts w:hint="default" w:ascii="Times New Roman" w:hAnsi="Times New Roman" w:eastAsia="宋体" w:cs="Times New Roman"/>
                <w:snapToGrid w:val="0"/>
                <w:color w:val="auto"/>
                <w:kern w:val="0"/>
                <w:sz w:val="24"/>
                <w:highlight w:val="none"/>
              </w:rPr>
              <w:t>产生清水</w:t>
            </w:r>
            <w:r>
              <w:rPr>
                <w:rFonts w:hint="eastAsia" w:cs="Times New Roman"/>
                <w:snapToGrid w:val="0"/>
                <w:color w:val="auto"/>
                <w:kern w:val="0"/>
                <w:sz w:val="24"/>
                <w:highlight w:val="none"/>
                <w:lang w:val="en-US" w:eastAsia="zh-CN"/>
              </w:rPr>
              <w:t>34</w:t>
            </w:r>
            <w:r>
              <w:rPr>
                <w:rFonts w:hint="default" w:ascii="Times New Roman" w:hAnsi="Times New Roman" w:eastAsia="宋体" w:cs="Times New Roman"/>
                <w:snapToGrid w:val="0"/>
                <w:color w:val="auto"/>
                <w:kern w:val="0"/>
                <w:sz w:val="24"/>
                <w:highlight w:val="none"/>
              </w:rPr>
              <w:t>t/a，全部回用于冷却塔补充水</w:t>
            </w:r>
            <w:r>
              <w:rPr>
                <w:rFonts w:hint="eastAsia" w:cs="Times New Roman"/>
                <w:snapToGrid w:val="0"/>
                <w:color w:val="auto"/>
                <w:kern w:val="0"/>
                <w:sz w:val="24"/>
                <w:highlight w:val="none"/>
                <w:lang w:eastAsia="zh-CN"/>
              </w:rPr>
              <w:t>；</w:t>
            </w:r>
            <w:r>
              <w:rPr>
                <w:rFonts w:hint="eastAsia" w:cs="Times New Roman"/>
                <w:snapToGrid w:val="0"/>
                <w:color w:val="auto"/>
                <w:kern w:val="0"/>
                <w:sz w:val="24"/>
                <w:highlight w:val="none"/>
                <w:lang w:val="en-US" w:eastAsia="zh-CN"/>
              </w:rPr>
              <w:t>产生污水站废液2.8</w:t>
            </w:r>
            <w:r>
              <w:rPr>
                <w:rFonts w:hint="default" w:ascii="Times New Roman" w:hAnsi="Times New Roman" w:eastAsia="宋体" w:cs="Times New Roman"/>
                <w:snapToGrid w:val="0"/>
                <w:color w:val="auto"/>
                <w:kern w:val="0"/>
                <w:sz w:val="24"/>
                <w:highlight w:val="none"/>
              </w:rPr>
              <w:t>t/a</w:t>
            </w:r>
            <w:r>
              <w:rPr>
                <w:rFonts w:hint="eastAsia" w:cs="Times New Roman"/>
                <w:snapToGrid w:val="0"/>
                <w:color w:val="auto"/>
                <w:kern w:val="0"/>
                <w:sz w:val="24"/>
                <w:highlight w:val="none"/>
                <w:lang w:eastAsia="zh-CN"/>
              </w:rPr>
              <w:t>（</w:t>
            </w:r>
            <w:r>
              <w:rPr>
                <w:rFonts w:hint="eastAsia" w:cs="Times New Roman"/>
                <w:snapToGrid w:val="0"/>
                <w:color w:val="auto"/>
                <w:kern w:val="0"/>
                <w:sz w:val="24"/>
                <w:highlight w:val="none"/>
                <w:lang w:val="en-US" w:eastAsia="zh-CN"/>
              </w:rPr>
              <w:t>浓缩废液1.12t/a、</w:t>
            </w:r>
            <w:r>
              <w:rPr>
                <w:rFonts w:hint="eastAsia" w:cs="Times New Roman"/>
                <w:snapToGrid w:val="0"/>
                <w:color w:val="auto"/>
                <w:kern w:val="0"/>
                <w:sz w:val="24"/>
                <w:highlight w:val="none"/>
                <w:lang w:eastAsia="zh-CN"/>
              </w:rPr>
              <w:t>离心分离和超滤废液</w:t>
            </w:r>
            <w:r>
              <w:rPr>
                <w:rFonts w:hint="eastAsia" w:cs="Times New Roman"/>
                <w:snapToGrid w:val="0"/>
                <w:color w:val="auto"/>
                <w:kern w:val="0"/>
                <w:sz w:val="24"/>
                <w:highlight w:val="none"/>
                <w:lang w:val="en-US" w:eastAsia="zh-CN"/>
              </w:rPr>
              <w:t>1.68t/a）、含水污泥0.2t/a</w:t>
            </w:r>
            <w:r>
              <w:rPr>
                <w:rFonts w:hint="default" w:ascii="Times New Roman" w:hAnsi="Times New Roman" w:eastAsia="宋体" w:cs="Times New Roman"/>
                <w:snapToGrid w:val="0"/>
                <w:color w:val="auto"/>
                <w:kern w:val="0"/>
                <w:sz w:val="24"/>
                <w:highlight w:val="none"/>
              </w:rPr>
              <w:t>，作为危险废液处理处置</w:t>
            </w:r>
            <w:r>
              <w:rPr>
                <w:rFonts w:hint="eastAsia" w:cs="Times New Roman"/>
                <w:snapToGrid w:val="0"/>
                <w:color w:val="auto"/>
                <w:kern w:val="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left"/>
              <w:textAlignment w:val="auto"/>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本项目水平衡如下：</w:t>
            </w:r>
          </w:p>
          <w:p>
            <w:pPr>
              <w:pStyle w:val="19"/>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27" o:spt="75" type="#_x0000_t75" style="height:213.05pt;width:439.85pt;" o:ole="t" filled="f" o:preferrelative="t" stroked="f" coordsize="21600,21600">
                  <v:path/>
                  <v:fill on="f" focussize="0,0"/>
                  <v:stroke on="f"/>
                  <v:imagedata r:id="rId20" o:title=""/>
                  <o:lock v:ext="edit" aspectratio="f"/>
                  <w10:wrap type="none"/>
                  <w10:anchorlock/>
                </v:shape>
                <o:OLEObject Type="Embed" ProgID="Visio.Drawing.15" ShapeID="_x0000_i1027" DrawAspect="Content" ObjectID="_1468075727" r:id="rId19">
                  <o:LockedField>false</o:LockedField>
                </o:OLEObject>
              </w:object>
            </w:r>
          </w:p>
          <w:p>
            <w:pPr>
              <w:adjustRightInd w:val="0"/>
              <w:snapToGrid w:val="0"/>
              <w:spacing w:line="500" w:lineRule="exact"/>
              <w:ind w:firstLine="482" w:firstLineChars="200"/>
              <w:jc w:val="center"/>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图2-</w:t>
            </w:r>
            <w:r>
              <w:rPr>
                <w:rFonts w:hint="eastAsia" w:cs="Times New Roman"/>
                <w:b/>
                <w:snapToGrid w:val="0"/>
                <w:color w:val="auto"/>
                <w:kern w:val="0"/>
                <w:sz w:val="24"/>
                <w:highlight w:val="none"/>
                <w:lang w:val="en-US" w:eastAsia="zh-CN"/>
              </w:rPr>
              <w:t>6</w:t>
            </w:r>
            <w:r>
              <w:rPr>
                <w:rFonts w:hint="default" w:ascii="Times New Roman" w:hAnsi="Times New Roman" w:eastAsia="宋体" w:cs="Times New Roman"/>
                <w:b/>
                <w:snapToGrid w:val="0"/>
                <w:color w:val="auto"/>
                <w:kern w:val="0"/>
                <w:sz w:val="24"/>
                <w:highlight w:val="none"/>
              </w:rPr>
              <w:t>本项目水量平衡图（t/a）</w:t>
            </w:r>
          </w:p>
          <w:p>
            <w:pPr>
              <w:widowControl w:val="0"/>
              <w:adjustRightInd w:val="0"/>
              <w:spacing w:line="240" w:lineRule="auto"/>
              <w:ind w:firstLine="420" w:firstLineChars="200"/>
              <w:jc w:val="left"/>
              <w:rPr>
                <w:rFonts w:hint="default"/>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lang w:eastAsia="zh-CN"/>
              </w:rPr>
              <w:t>※</w:t>
            </w:r>
            <w:r>
              <w:rPr>
                <w:rFonts w:hint="eastAsia" w:cs="Times New Roman"/>
                <w:snapToGrid w:val="0"/>
                <w:color w:val="auto"/>
                <w:kern w:val="0"/>
                <w:sz w:val="21"/>
                <w:szCs w:val="21"/>
                <w:highlight w:val="none"/>
                <w:lang w:val="en-US" w:eastAsia="zh-CN"/>
              </w:rPr>
              <w:t>注：水平衡中纯水制备-中水回用系统-污水处理站-中水冷却塔，该部分废水在“以新带老”部分已重新核定。因此本项目实际新增进入污水处理站废水量为42t/a。</w:t>
            </w:r>
          </w:p>
          <w:p>
            <w:pPr>
              <w:keepNext w:val="0"/>
              <w:keepLines w:val="0"/>
              <w:pageBreakBefore w:val="0"/>
              <w:widowControl w:val="0"/>
              <w:tabs>
                <w:tab w:val="left" w:pos="3319"/>
              </w:tabs>
              <w:kinsoku/>
              <w:wordWrap/>
              <w:overflowPunct/>
              <w:topLinePunct w:val="0"/>
              <w:autoSpaceDE/>
              <w:autoSpaceDN/>
              <w:bidi w:val="0"/>
              <w:adjustRightInd w:val="0"/>
              <w:snapToGrid w:val="0"/>
              <w:spacing w:line="460" w:lineRule="exact"/>
              <w:ind w:firstLine="435"/>
              <w:textAlignment w:val="auto"/>
              <w:rPr>
                <w:rFonts w:hint="eastAsia" w:cs="Times New Roman"/>
                <w:snapToGrid w:val="0"/>
                <w:color w:val="auto"/>
                <w:kern w:val="0"/>
                <w:sz w:val="24"/>
                <w:highlight w:val="none"/>
                <w:lang w:val="en-US" w:eastAsia="zh-CN"/>
              </w:rPr>
            </w:pPr>
            <w:r>
              <w:rPr>
                <w:rFonts w:hint="default" w:ascii="Times New Roman" w:hAnsi="Times New Roman" w:eastAsia="宋体" w:cs="Times New Roman"/>
                <w:snapToGrid w:val="0"/>
                <w:color w:val="auto"/>
                <w:kern w:val="0"/>
                <w:sz w:val="24"/>
                <w:highlight w:val="none"/>
              </w:rPr>
              <w:t>（</w:t>
            </w:r>
            <w:r>
              <w:rPr>
                <w:rFonts w:hint="default" w:ascii="Times New Roman" w:hAnsi="Times New Roman" w:eastAsia="宋体" w:cs="Times New Roman"/>
                <w:snapToGrid w:val="0"/>
                <w:color w:val="auto"/>
                <w:kern w:val="0"/>
                <w:sz w:val="24"/>
                <w:highlight w:val="none"/>
                <w:lang w:val="en-US" w:eastAsia="zh-CN"/>
              </w:rPr>
              <w:t>2</w:t>
            </w:r>
            <w:r>
              <w:rPr>
                <w:rFonts w:hint="default" w:ascii="Times New Roman" w:hAnsi="Times New Roman" w:eastAsia="宋体" w:cs="Times New Roman"/>
                <w:snapToGrid w:val="0"/>
                <w:color w:val="auto"/>
                <w:kern w:val="0"/>
                <w:sz w:val="24"/>
                <w:highlight w:val="none"/>
              </w:rPr>
              <w:t>）本项目建成后新华路厂区水平衡分如下</w:t>
            </w:r>
          </w:p>
          <w:p>
            <w:pPr>
              <w:pStyle w:val="2"/>
              <w:rPr>
                <w:rFonts w:hint="default"/>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napToGrid w:val="0"/>
                <w:color w:val="auto"/>
                <w:kern w:val="0"/>
                <w:sz w:val="24"/>
                <w:highlight w:val="none"/>
              </w:rPr>
            </w:pPr>
          </w:p>
        </w:tc>
      </w:tr>
    </w:tbl>
    <w:p>
      <w:pPr>
        <w:pStyle w:val="18"/>
        <w:jc w:val="both"/>
        <w:rPr>
          <w:rFonts w:hint="default" w:ascii="Times New Roman" w:hAnsi="Times New Roman" w:eastAsia="宋体" w:cs="Times New Roman"/>
          <w:snapToGrid w:val="0"/>
          <w:color w:val="auto"/>
          <w:sz w:val="36"/>
          <w:szCs w:val="36"/>
          <w:highlight w:val="none"/>
        </w:rPr>
        <w:sectPr>
          <w:footerReference r:id="rId7"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20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dxa"/>
            <w:noWrap w:val="0"/>
            <w:vAlign w:val="top"/>
          </w:tcPr>
          <w:p>
            <w:pPr>
              <w:pStyle w:val="18"/>
              <w:jc w:val="center"/>
              <w:rPr>
                <w:rFonts w:hint="default" w:ascii="Times New Roman" w:hAnsi="Times New Roman" w:eastAsia="宋体" w:cs="Times New Roman"/>
                <w:snapToGrid w:val="0"/>
                <w:color w:val="auto"/>
                <w:szCs w:val="36"/>
                <w:highlight w:val="none"/>
              </w:rPr>
            </w:pPr>
            <w:r>
              <w:rPr>
                <w:rFonts w:hint="default" w:ascii="Times New Roman" w:hAnsi="Times New Roman" w:eastAsia="宋体" w:cs="Times New Roman"/>
                <w:snapToGrid w:val="0"/>
                <w:color w:val="auto"/>
                <w:szCs w:val="36"/>
                <w:highlight w:val="none"/>
              </w:rPr>
              <w:t>续上表</w:t>
            </w:r>
          </w:p>
        </w:tc>
        <w:tc>
          <w:tcPr>
            <w:tcW w:w="20710" w:type="dxa"/>
            <w:noWrap w:val="0"/>
            <w:vAlign w:val="top"/>
          </w:tcPr>
          <w:p>
            <w:pPr>
              <w:pStyle w:val="50"/>
              <w:widowControl w:val="0"/>
              <w:spacing w:after="0" w:line="240" w:lineRule="auto"/>
              <w:ind w:firstLine="0" w:firstLineChars="0"/>
              <w:jc w:val="center"/>
              <w:rPr>
                <w:rFonts w:hint="default" w:ascii="Times New Roman" w:hAnsi="Times New Roman" w:eastAsia="宋体" w:cs="Times New Roman"/>
                <w:snapToGrid w:val="0"/>
                <w:color w:val="auto"/>
                <w:szCs w:val="36"/>
                <w:highlight w:val="none"/>
              </w:rPr>
            </w:pPr>
            <w:r>
              <w:rPr>
                <w:rFonts w:hint="default" w:ascii="Times New Roman" w:hAnsi="Times New Roman" w:eastAsia="宋体" w:cs="Times New Roman"/>
                <w:snapToGrid w:val="0"/>
                <w:color w:val="auto"/>
                <w:szCs w:val="36"/>
                <w:highlight w:val="none"/>
              </w:rPr>
              <w:object>
                <v:shape id="_x0000_i1028" o:spt="75" type="#_x0000_t75" style="height:719.55pt;width:1002.05pt;" o:ole="t" filled="f" o:preferrelative="t" stroked="f" coordsize="21600,21600">
                  <v:path/>
                  <v:fill on="f" focussize="0,0"/>
                  <v:stroke on="f"/>
                  <v:imagedata r:id="rId22" o:title=""/>
                  <o:lock v:ext="edit" aspectratio="f"/>
                  <w10:wrap type="none"/>
                  <w10:anchorlock/>
                </v:shape>
                <o:OLEObject Type="Embed" ProgID="Visio.Drawing.15" ShapeID="_x0000_i1028" DrawAspect="Content" ObjectID="_1468075728" r:id="rId21">
                  <o:LockedField>false</o:LockedField>
                </o:OLEObject>
              </w:object>
            </w:r>
          </w:p>
        </w:tc>
      </w:tr>
    </w:tbl>
    <w:p>
      <w:pPr>
        <w:pStyle w:val="18"/>
        <w:jc w:val="center"/>
        <w:rPr>
          <w:rFonts w:hint="default" w:ascii="Times New Roman" w:hAnsi="Times New Roman" w:eastAsia="宋体" w:cs="Times New Roman"/>
          <w:snapToGrid w:val="0"/>
          <w:color w:val="auto"/>
          <w:sz w:val="36"/>
          <w:szCs w:val="36"/>
          <w:highlight w:val="none"/>
        </w:rPr>
        <w:sectPr>
          <w:footerReference r:id="rId8" w:type="default"/>
          <w:pgSz w:w="23814" w:h="16839" w:orient="landscape"/>
          <w:pgMar w:top="1417" w:right="1418" w:bottom="1417" w:left="1418"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noWrap w:val="0"/>
            <w:vAlign w:val="center"/>
          </w:tcPr>
          <w:p>
            <w:pPr>
              <w:pStyle w:val="18"/>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bookmarkStart w:id="8" w:name="_Toc68247212"/>
            <w:r>
              <w:rPr>
                <w:rFonts w:hint="default" w:ascii="Times New Roman" w:hAnsi="Times New Roman" w:eastAsia="宋体" w:cs="Times New Roman"/>
                <w:bCs/>
                <w:color w:val="auto"/>
                <w:kern w:val="2"/>
                <w:sz w:val="21"/>
                <w:szCs w:val="21"/>
                <w:highlight w:val="none"/>
              </w:rPr>
              <w:t>与项目有关的原有环境污染问题</w:t>
            </w:r>
          </w:p>
        </w:tc>
        <w:tc>
          <w:tcPr>
            <w:tcW w:w="8186" w:type="dxa"/>
            <w:noWrap w:val="0"/>
            <w:vAlign w:val="top"/>
          </w:tcPr>
          <w:p>
            <w:pPr>
              <w:keepNext w:val="0"/>
              <w:keepLines w:val="0"/>
              <w:pageBreakBefore w:val="0"/>
              <w:numPr>
                <w:ilvl w:val="0"/>
                <w:numId w:val="5"/>
              </w:numPr>
              <w:tabs>
                <w:tab w:val="left" w:pos="425"/>
                <w:tab w:val="clear" w:pos="0"/>
              </w:tabs>
              <w:kinsoku/>
              <w:overflowPunct/>
              <w:topLinePunct w:val="0"/>
              <w:autoSpaceDE/>
              <w:autoSpaceDN/>
              <w:bidi w:val="0"/>
              <w:adjustRightInd w:val="0"/>
              <w:snapToGrid w:val="0"/>
              <w:spacing w:line="460" w:lineRule="exac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项目概况</w:t>
            </w:r>
          </w:p>
          <w:p>
            <w:pPr>
              <w:keepNext w:val="0"/>
              <w:keepLines w:val="0"/>
              <w:pageBreakBefore w:val="0"/>
              <w:kinsoku/>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博世动力总成有限公司“原博世汽车柴油系统有限公司”是2004年7月由德国博世集团与无锡威孚集团联合设立的中外合资企业，公司位于无锡市新吴区新华路17号，主要从事机动车柴油燃油喷射系统与尾气后处理系统的开发、制造和销售。</w:t>
            </w:r>
          </w:p>
          <w:p>
            <w:pPr>
              <w:keepNext w:val="0"/>
              <w:keepLines w:val="0"/>
              <w:pageBreakBefore w:val="0"/>
              <w:widowControl/>
              <w:kinsoku/>
              <w:wordWrap w:val="0"/>
              <w:overflowPunct/>
              <w:topLinePunct w:val="0"/>
              <w:autoSpaceDE/>
              <w:autoSpaceDN/>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pacing w:val="-2"/>
                <w:sz w:val="24"/>
                <w:highlight w:val="none"/>
              </w:rPr>
            </w:pPr>
            <w:r>
              <w:rPr>
                <w:rFonts w:hint="default" w:ascii="Times New Roman" w:hAnsi="Times New Roman" w:eastAsia="宋体" w:cs="Times New Roman"/>
                <w:color w:val="auto"/>
                <w:sz w:val="24"/>
                <w:highlight w:val="none"/>
              </w:rPr>
              <w:t>目前公司</w:t>
            </w:r>
            <w:r>
              <w:rPr>
                <w:rFonts w:hint="eastAsia" w:cs="Times New Roman"/>
                <w:color w:val="auto"/>
                <w:sz w:val="24"/>
                <w:highlight w:val="none"/>
                <w:lang w:val="en-US" w:eastAsia="zh-CN"/>
              </w:rPr>
              <w:t>全厂</w:t>
            </w:r>
            <w:r>
              <w:rPr>
                <w:rFonts w:hint="default" w:ascii="Times New Roman" w:hAnsi="Times New Roman" w:eastAsia="宋体" w:cs="Times New Roman"/>
                <w:color w:val="auto"/>
                <w:sz w:val="24"/>
                <w:highlight w:val="none"/>
              </w:rPr>
              <w:t>产品及设计规模为：</w:t>
            </w:r>
            <w:r>
              <w:rPr>
                <w:rFonts w:hint="default" w:ascii="Times New Roman" w:hAnsi="Times New Roman" w:eastAsia="宋体" w:cs="Times New Roman"/>
                <w:bCs/>
                <w:color w:val="auto"/>
                <w:sz w:val="24"/>
                <w:szCs w:val="21"/>
                <w:highlight w:val="none"/>
              </w:rPr>
              <w:t>新华路17号厂区内现状产品种类及设计规模为：喷油器1000万支/年（</w:t>
            </w:r>
            <w:r>
              <w:rPr>
                <w:rFonts w:hint="eastAsia" w:cs="Times New Roman"/>
                <w:bCs/>
                <w:color w:val="auto"/>
                <w:sz w:val="24"/>
                <w:szCs w:val="21"/>
                <w:highlight w:val="none"/>
                <w:lang w:val="en-US" w:eastAsia="zh-Hans"/>
              </w:rPr>
              <w:t>含</w:t>
            </w:r>
            <w:r>
              <w:rPr>
                <w:rFonts w:hint="default" w:ascii="Times New Roman" w:hAnsi="Times New Roman" w:eastAsia="宋体" w:cs="Times New Roman"/>
                <w:bCs/>
                <w:color w:val="auto"/>
                <w:sz w:val="24"/>
                <w:szCs w:val="21"/>
                <w:highlight w:val="none"/>
              </w:rPr>
              <w:t>喷油器阀座镀铬加工467.2万个/年、喷油器阀座氮化铬涂层加工770万个/年）、共轨油嘴2000万付/年、后国六/国七共轨喷油器体160万支/年</w:t>
            </w:r>
            <w:r>
              <w:rPr>
                <w:rFonts w:hint="default" w:ascii="Times New Roman" w:hAnsi="Times New Roman" w:eastAsia="宋体" w:cs="Times New Roman"/>
                <w:bCs/>
                <w:color w:val="auto"/>
                <w:sz w:val="24"/>
                <w:szCs w:val="21"/>
                <w:highlight w:val="none"/>
                <w:lang w:eastAsia="zh-CN"/>
              </w:rPr>
              <w:t>、</w:t>
            </w:r>
            <w:r>
              <w:rPr>
                <w:rFonts w:hint="default" w:ascii="Times New Roman" w:hAnsi="Times New Roman" w:eastAsia="宋体" w:cs="Times New Roman"/>
                <w:bCs/>
                <w:color w:val="auto"/>
                <w:sz w:val="24"/>
                <w:szCs w:val="21"/>
                <w:highlight w:val="none"/>
              </w:rPr>
              <w:t>再制造喷油器70万只/年、尾气后处理系统287万个/年、再制造尾气后处理系统10万个/年、再制造燃气/双燃料系统1万套/年、燃气/双燃料系统及其组件5万套/年、高压油泵60万个/</w:t>
            </w:r>
            <w:r>
              <w:rPr>
                <w:rFonts w:hint="default" w:ascii="Times New Roman" w:hAnsi="Times New Roman" w:eastAsia="宋体" w:cs="Times New Roman"/>
                <w:b w:val="0"/>
                <w:bCs/>
                <w:color w:val="auto"/>
                <w:sz w:val="24"/>
                <w:szCs w:val="21"/>
                <w:highlight w:val="none"/>
              </w:rPr>
              <w:t>年、共轨油轨280万个/年、热处理加工阀座300万个/年、柴油发动机零件类金刚石涂层1200万个/年、齿轮泵52万个/年、打印三维塑料件100件/年、CB4泵高压部件</w:t>
            </w:r>
            <w:r>
              <w:rPr>
                <w:rFonts w:hint="eastAsia" w:cs="Times New Roman"/>
                <w:b w:val="0"/>
                <w:bCs/>
                <w:color w:val="auto"/>
                <w:sz w:val="24"/>
                <w:szCs w:val="21"/>
                <w:highlight w:val="none"/>
                <w:lang w:val="en-US" w:eastAsia="zh-CN"/>
              </w:rPr>
              <w:t>142</w:t>
            </w:r>
            <w:r>
              <w:rPr>
                <w:rFonts w:hint="default" w:ascii="Times New Roman" w:hAnsi="Times New Roman" w:eastAsia="宋体" w:cs="Times New Roman"/>
                <w:b w:val="0"/>
                <w:bCs/>
                <w:color w:val="auto"/>
                <w:sz w:val="24"/>
                <w:szCs w:val="21"/>
                <w:highlight w:val="none"/>
              </w:rPr>
              <w:t>万个/年、燃料电池20000个/年、尿素喷嘴100万件/年</w:t>
            </w:r>
            <w:r>
              <w:rPr>
                <w:rFonts w:hint="eastAsia" w:cs="Times New Roman"/>
                <w:b w:val="0"/>
                <w:bCs/>
                <w:color w:val="auto"/>
                <w:sz w:val="24"/>
                <w:szCs w:val="21"/>
                <w:highlight w:val="none"/>
                <w:lang w:eastAsia="zh-CN"/>
              </w:rPr>
              <w:t>、</w:t>
            </w:r>
            <w:r>
              <w:rPr>
                <w:rFonts w:hint="default" w:ascii="Times New Roman" w:hAnsi="Times New Roman" w:eastAsia="宋体" w:cs="Times New Roman"/>
                <w:b w:val="0"/>
                <w:bCs/>
                <w:color w:val="auto"/>
                <w:sz w:val="24"/>
                <w:szCs w:val="21"/>
                <w:highlight w:val="none"/>
                <w:lang w:val="en-US" w:eastAsia="zh-CN"/>
              </w:rPr>
              <w:t>电堆276</w:t>
            </w:r>
            <w:r>
              <w:rPr>
                <w:rFonts w:hint="default" w:ascii="Times New Roman" w:hAnsi="Times New Roman" w:eastAsia="宋体" w:cs="Times New Roman"/>
                <w:bCs/>
                <w:color w:val="auto"/>
                <w:sz w:val="24"/>
                <w:szCs w:val="21"/>
                <w:highlight w:val="none"/>
                <w:lang w:val="en-US" w:eastAsia="zh-CN"/>
              </w:rPr>
              <w:t>4台/年</w:t>
            </w:r>
            <w:r>
              <w:rPr>
                <w:rFonts w:hint="eastAsia" w:cs="Times New Roman"/>
                <w:bCs/>
                <w:color w:val="auto"/>
                <w:sz w:val="24"/>
                <w:szCs w:val="21"/>
                <w:highlight w:val="none"/>
                <w:lang w:val="en-US" w:eastAsia="zh-CN"/>
              </w:rPr>
              <w:t>、尿素泵及接头120万件/年</w:t>
            </w:r>
            <w:r>
              <w:rPr>
                <w:rFonts w:hint="default" w:ascii="Times New Roman" w:hAnsi="Times New Roman" w:eastAsia="宋体" w:cs="Times New Roman"/>
                <w:b w:val="0"/>
                <w:bCs/>
                <w:color w:val="auto"/>
                <w:sz w:val="24"/>
                <w:szCs w:val="21"/>
                <w:highlight w:val="none"/>
              </w:rPr>
              <w:t>、清洗塑料周转箱180万个/年</w:t>
            </w:r>
            <w:r>
              <w:rPr>
                <w:rFonts w:hint="default" w:ascii="Times New Roman" w:hAnsi="Times New Roman" w:eastAsia="宋体" w:cs="Times New Roman"/>
                <w:bCs/>
                <w:color w:val="auto"/>
                <w:sz w:val="24"/>
                <w:szCs w:val="21"/>
                <w:highlight w:val="none"/>
              </w:rPr>
              <w:t>。</w:t>
            </w:r>
            <w:r>
              <w:rPr>
                <w:rFonts w:hint="eastAsia" w:cs="Times New Roman"/>
                <w:bCs/>
                <w:color w:val="auto"/>
                <w:sz w:val="24"/>
                <w:szCs w:val="21"/>
                <w:highlight w:val="none"/>
                <w:lang w:val="en-US" w:eastAsia="zh-Hans"/>
              </w:rPr>
              <w:t>里河路厂区内现状产品种类及设计规模为</w:t>
            </w:r>
            <w:r>
              <w:rPr>
                <w:rFonts w:hint="default" w:cs="Times New Roman"/>
                <w:bCs/>
                <w:color w:val="auto"/>
                <w:sz w:val="24"/>
                <w:szCs w:val="21"/>
                <w:highlight w:val="none"/>
                <w:lang w:eastAsia="zh-Hans"/>
              </w:rPr>
              <w:t>：</w:t>
            </w:r>
            <w:r>
              <w:rPr>
                <w:rFonts w:hint="eastAsia" w:cs="Times New Roman"/>
                <w:bCs/>
                <w:color w:val="auto"/>
                <w:sz w:val="24"/>
                <w:szCs w:val="21"/>
                <w:highlight w:val="none"/>
                <w:lang w:val="en-US" w:eastAsia="zh-Hans"/>
              </w:rPr>
              <w:t>高压泵体</w:t>
            </w:r>
            <w:r>
              <w:rPr>
                <w:rFonts w:hint="default" w:cs="Times New Roman"/>
                <w:bCs/>
                <w:color w:val="auto"/>
                <w:sz w:val="24"/>
                <w:szCs w:val="21"/>
                <w:highlight w:val="none"/>
                <w:lang w:eastAsia="zh-Hans"/>
              </w:rPr>
              <w:t>1250</w:t>
            </w:r>
            <w:r>
              <w:rPr>
                <w:rFonts w:hint="eastAsia" w:cs="Times New Roman"/>
                <w:bCs/>
                <w:color w:val="auto"/>
                <w:sz w:val="24"/>
                <w:szCs w:val="21"/>
                <w:highlight w:val="none"/>
                <w:lang w:val="en-US" w:eastAsia="zh-Hans"/>
              </w:rPr>
              <w:t>万个</w:t>
            </w:r>
            <w:r>
              <w:rPr>
                <w:rFonts w:hint="default" w:cs="Times New Roman"/>
                <w:bCs/>
                <w:color w:val="auto"/>
                <w:sz w:val="24"/>
                <w:szCs w:val="21"/>
                <w:highlight w:val="none"/>
                <w:lang w:eastAsia="zh-Hans"/>
              </w:rPr>
              <w:t>/</w:t>
            </w:r>
            <w:r>
              <w:rPr>
                <w:rFonts w:hint="eastAsia" w:cs="Times New Roman"/>
                <w:bCs/>
                <w:color w:val="auto"/>
                <w:sz w:val="24"/>
                <w:szCs w:val="21"/>
                <w:highlight w:val="none"/>
                <w:lang w:val="en-US" w:eastAsia="zh-Hans"/>
              </w:rPr>
              <w:t>年</w:t>
            </w:r>
            <w:r>
              <w:rPr>
                <w:rFonts w:hint="default" w:cs="Times New Roman"/>
                <w:bCs/>
                <w:color w:val="auto"/>
                <w:sz w:val="24"/>
                <w:szCs w:val="21"/>
                <w:highlight w:val="none"/>
                <w:lang w:eastAsia="zh-Hans"/>
              </w:rPr>
              <w:t>。</w:t>
            </w:r>
          </w:p>
          <w:p>
            <w:pPr>
              <w:keepNext w:val="0"/>
              <w:keepLines w:val="0"/>
              <w:pageBreakBefore w:val="0"/>
              <w:kinsoku/>
              <w:overflowPunct/>
              <w:topLinePunct w:val="0"/>
              <w:autoSpaceDE/>
              <w:autoSpaceDN/>
              <w:bidi w:val="0"/>
              <w:adjustRightInd w:val="0"/>
              <w:snapToGrid w:val="0"/>
              <w:spacing w:line="460" w:lineRule="exact"/>
              <w:ind w:firstLine="57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现有全厂定员6</w:t>
            </w:r>
            <w:r>
              <w:rPr>
                <w:rFonts w:hint="default"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68</w:t>
            </w:r>
            <w:r>
              <w:rPr>
                <w:rFonts w:hint="default" w:ascii="Times New Roman" w:hAnsi="Times New Roman" w:eastAsia="宋体" w:cs="Times New Roman"/>
                <w:color w:val="auto"/>
                <w:sz w:val="24"/>
                <w:highlight w:val="none"/>
              </w:rPr>
              <w:t>人，三班制，每班8小时，年工作3</w:t>
            </w:r>
            <w:r>
              <w:rPr>
                <w:rFonts w:hint="eastAsia" w:cs="Times New Roman"/>
                <w:color w:val="auto"/>
                <w:sz w:val="24"/>
                <w:highlight w:val="none"/>
                <w:lang w:val="en-US" w:eastAsia="zh-CN"/>
              </w:rPr>
              <w:t>60</w:t>
            </w:r>
            <w:r>
              <w:rPr>
                <w:rFonts w:hint="default" w:ascii="Times New Roman" w:hAnsi="Times New Roman" w:eastAsia="宋体" w:cs="Times New Roman"/>
                <w:color w:val="auto"/>
                <w:sz w:val="24"/>
                <w:highlight w:val="none"/>
              </w:rPr>
              <w:t>天，设食堂和浴室等</w:t>
            </w:r>
            <w:r>
              <w:rPr>
                <w:rFonts w:hint="default" w:ascii="Times New Roman" w:hAnsi="Times New Roman" w:eastAsia="宋体" w:cs="Times New Roman"/>
                <w:color w:val="auto"/>
                <w:sz w:val="24"/>
                <w:highlight w:val="none"/>
                <w:lang w:eastAsia="zh-CN"/>
              </w:rPr>
              <w:t>。</w:t>
            </w:r>
          </w:p>
          <w:p>
            <w:pPr>
              <w:keepNext w:val="0"/>
              <w:keepLines w:val="0"/>
              <w:pageBreakBefore w:val="0"/>
              <w:kinsoku/>
              <w:overflowPunct/>
              <w:topLinePunct w:val="0"/>
              <w:autoSpaceDE/>
              <w:autoSpaceDN/>
              <w:bidi w:val="0"/>
              <w:adjustRightInd w:val="0"/>
              <w:snapToGrid w:val="0"/>
              <w:spacing w:line="460" w:lineRule="exact"/>
              <w:ind w:firstLine="482"/>
              <w:textAlignment w:val="auto"/>
              <w:rPr>
                <w:rFonts w:hint="default" w:ascii="Times New Roman" w:hAnsi="Times New Roman" w:eastAsia="宋体" w:cs="Times New Roman"/>
                <w:color w:val="auto"/>
                <w:spacing w:val="-2"/>
                <w:sz w:val="24"/>
                <w:highlight w:val="none"/>
              </w:rPr>
            </w:pPr>
            <w:r>
              <w:rPr>
                <w:rFonts w:hint="default" w:ascii="Times New Roman" w:hAnsi="Times New Roman" w:eastAsia="宋体" w:cs="Times New Roman"/>
                <w:bCs/>
                <w:color w:val="auto"/>
                <w:sz w:val="24"/>
                <w:highlight w:val="none"/>
              </w:rPr>
              <w:t>公司现有项目环保手续办理情况详</w:t>
            </w:r>
            <w:r>
              <w:rPr>
                <w:rFonts w:hint="default" w:ascii="Times New Roman" w:hAnsi="Times New Roman" w:eastAsia="宋体" w:cs="Times New Roman"/>
                <w:color w:val="auto"/>
                <w:spacing w:val="-2"/>
                <w:sz w:val="24"/>
                <w:highlight w:val="none"/>
              </w:rPr>
              <w:t>见表2-</w:t>
            </w:r>
            <w:r>
              <w:rPr>
                <w:rFonts w:hint="default" w:ascii="Times New Roman" w:hAnsi="Times New Roman" w:eastAsia="宋体" w:cs="Times New Roman"/>
                <w:color w:val="auto"/>
                <w:spacing w:val="-2"/>
                <w:sz w:val="24"/>
                <w:highlight w:val="none"/>
                <w:lang w:val="en-US" w:eastAsia="zh-CN"/>
              </w:rPr>
              <w:t>7</w:t>
            </w:r>
            <w:r>
              <w:rPr>
                <w:rFonts w:hint="default" w:ascii="Times New Roman" w:hAnsi="Times New Roman" w:eastAsia="宋体" w:cs="Times New Roman"/>
                <w:color w:val="auto"/>
                <w:spacing w:val="-2"/>
                <w:sz w:val="24"/>
                <w:highlight w:val="none"/>
              </w:rPr>
              <w:t>。</w:t>
            </w:r>
          </w:p>
          <w:p>
            <w:pPr>
              <w:spacing w:line="500" w:lineRule="exact"/>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default"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 xml:space="preserve">  现有项目环保手续办理情况一览表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42"/>
              <w:gridCol w:w="1654"/>
              <w:gridCol w:w="960"/>
              <w:gridCol w:w="1308"/>
              <w:gridCol w:w="1100"/>
              <w:gridCol w:w="554"/>
              <w:gridCol w:w="1310"/>
              <w:gridCol w:w="9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7" w:type="pct"/>
                  <w:vMerge w:val="restart"/>
                  <w:noWrap w:val="0"/>
                  <w:vAlign w:val="center"/>
                </w:tcPr>
                <w:p>
                  <w:pPr>
                    <w:widowControl/>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2267" w:type="pct"/>
                  <w:gridSpan w:val="3"/>
                  <w:noWrap w:val="0"/>
                  <w:vAlign w:val="center"/>
                </w:tcPr>
                <w:p>
                  <w:pPr>
                    <w:widowControl/>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环评情况</w:t>
                  </w:r>
                </w:p>
              </w:tc>
              <w:tc>
                <w:tcPr>
                  <w:tcW w:w="2244" w:type="pct"/>
                  <w:gridSpan w:val="4"/>
                  <w:noWrap w:val="0"/>
                  <w:vAlign w:val="center"/>
                </w:tcPr>
                <w:p>
                  <w:pPr>
                    <w:widowControl/>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“三同时”验收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7" w:type="pct"/>
                  <w:vMerge w:val="continue"/>
                  <w:noWrap w:val="0"/>
                  <w:vAlign w:val="center"/>
                </w:tcPr>
                <w:p>
                  <w:pPr>
                    <w:widowControl/>
                    <w:adjustRightInd w:val="0"/>
                    <w:snapToGrid w:val="0"/>
                    <w:jc w:val="center"/>
                    <w:rPr>
                      <w:rFonts w:hint="default" w:ascii="Times New Roman" w:hAnsi="Times New Roman" w:eastAsia="宋体" w:cs="Times New Roman"/>
                      <w:b/>
                      <w:color w:val="auto"/>
                      <w:kern w:val="0"/>
                      <w:szCs w:val="21"/>
                      <w:highlight w:val="none"/>
                    </w:rPr>
                  </w:pPr>
                </w:p>
              </w:tc>
              <w:tc>
                <w:tcPr>
                  <w:tcW w:w="956" w:type="pct"/>
                  <w:noWrap w:val="0"/>
                  <w:vAlign w:val="center"/>
                </w:tcPr>
                <w:p>
                  <w:pPr>
                    <w:widowControl/>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项目名称</w:t>
                  </w:r>
                </w:p>
              </w:tc>
              <w:tc>
                <w:tcPr>
                  <w:tcW w:w="555" w:type="pct"/>
                  <w:noWrap w:val="0"/>
                  <w:vAlign w:val="center"/>
                </w:tcPr>
                <w:p>
                  <w:pPr>
                    <w:widowControl/>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批准通过时间</w:t>
                  </w:r>
                </w:p>
              </w:tc>
              <w:tc>
                <w:tcPr>
                  <w:tcW w:w="756" w:type="pct"/>
                  <w:noWrap w:val="0"/>
                  <w:vAlign w:val="center"/>
                </w:tcPr>
                <w:p>
                  <w:pPr>
                    <w:widowControl/>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批准机构</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分期验收内容</w:t>
                  </w:r>
                </w:p>
              </w:tc>
              <w:tc>
                <w:tcPr>
                  <w:tcW w:w="756" w:type="pct"/>
                  <w:noWrap w:val="0"/>
                  <w:vAlign w:val="center"/>
                </w:tcPr>
                <w:p>
                  <w:pPr>
                    <w:widowControl/>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验收通过时间</w:t>
                  </w:r>
                </w:p>
              </w:tc>
              <w:tc>
                <w:tcPr>
                  <w:tcW w:w="531" w:type="pct"/>
                  <w:noWrap w:val="0"/>
                  <w:vAlign w:val="center"/>
                </w:tcPr>
                <w:p>
                  <w:pPr>
                    <w:widowControl/>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验收机构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7"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一期项目</w:t>
                  </w:r>
                </w:p>
              </w:tc>
              <w:tc>
                <w:tcPr>
                  <w:tcW w:w="956"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年生产油嘴400万付、喷油器总成320万付技改扩建项目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2004年2月</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江苏省环境保护厅</w:t>
                  </w:r>
                </w:p>
              </w:tc>
              <w:tc>
                <w:tcPr>
                  <w:tcW w:w="956" w:type="pct"/>
                  <w:gridSpan w:val="2"/>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2006年7月</w:t>
                  </w:r>
                </w:p>
              </w:tc>
              <w:tc>
                <w:tcPr>
                  <w:tcW w:w="531"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无锡市环境保护局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7"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pacing w:val="-2"/>
                      <w:szCs w:val="21"/>
                      <w:highlight w:val="none"/>
                    </w:rPr>
                    <w:t>二期项目</w:t>
                  </w:r>
                </w:p>
              </w:tc>
              <w:tc>
                <w:tcPr>
                  <w:tcW w:w="956"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年加工67.2万个共轨喷油器阀座镀铬生产线扩建项目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2007年10月</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无锡市环境保护局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6" w:type="pc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2008年8月</w:t>
                  </w:r>
                </w:p>
              </w:tc>
              <w:tc>
                <w:tcPr>
                  <w:tcW w:w="531"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487"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pacing w:val="-2"/>
                      <w:szCs w:val="21"/>
                      <w:highlight w:val="none"/>
                    </w:rPr>
                    <w:t>三期项目</w:t>
                  </w:r>
                </w:p>
              </w:tc>
              <w:tc>
                <w:tcPr>
                  <w:tcW w:w="956"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年加工400万个共轨喷油器阀座镀铬生产线扩建项目</w:t>
                  </w:r>
                </w:p>
              </w:tc>
              <w:tc>
                <w:tcPr>
                  <w:tcW w:w="555"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2007年12月</w:t>
                  </w:r>
                </w:p>
              </w:tc>
              <w:tc>
                <w:tcPr>
                  <w:tcW w:w="756"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无锡市环境保护局</w:t>
                  </w:r>
                </w:p>
              </w:tc>
              <w:tc>
                <w:tcPr>
                  <w:tcW w:w="956" w:type="pct"/>
                  <w:gridSpan w:val="2"/>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pacing w:val="-2"/>
                      <w:szCs w:val="21"/>
                      <w:highlight w:val="none"/>
                    </w:rPr>
                    <w:t>第一阶段（1条生产线）</w:t>
                  </w:r>
                </w:p>
              </w:tc>
              <w:tc>
                <w:tcPr>
                  <w:tcW w:w="756" w:type="pc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pacing w:val="-2"/>
                      <w:szCs w:val="21"/>
                      <w:highlight w:val="none"/>
                    </w:rPr>
                    <w:t>2010年8月</w:t>
                  </w:r>
                </w:p>
              </w:tc>
              <w:tc>
                <w:tcPr>
                  <w:tcW w:w="531" w:type="pct"/>
                  <w:vMerge w:val="continue"/>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7" w:type="pct"/>
                  <w:vMerge w:val="continue"/>
                  <w:noWrap w:val="0"/>
                  <w:vAlign w:val="center"/>
                </w:tcPr>
                <w:p>
                  <w:pPr>
                    <w:widowControl/>
                    <w:adjustRightInd w:val="0"/>
                    <w:snapToGrid w:val="0"/>
                    <w:jc w:val="center"/>
                    <w:rPr>
                      <w:rFonts w:hint="default" w:ascii="Times New Roman" w:hAnsi="Times New Roman" w:eastAsia="宋体" w:cs="Times New Roman"/>
                      <w:color w:val="auto"/>
                      <w:spacing w:val="-2"/>
                      <w:szCs w:val="21"/>
                      <w:highlight w:val="none"/>
                    </w:rPr>
                  </w:pPr>
                </w:p>
              </w:tc>
              <w:tc>
                <w:tcPr>
                  <w:tcW w:w="9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pacing w:val="-2"/>
                      <w:szCs w:val="21"/>
                      <w:highlight w:val="none"/>
                    </w:rPr>
                    <w:t>第二阶段（3条生产线）</w:t>
                  </w:r>
                </w:p>
              </w:tc>
              <w:tc>
                <w:tcPr>
                  <w:tcW w:w="756" w:type="pc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2013年11月</w:t>
                  </w:r>
                </w:p>
              </w:tc>
              <w:tc>
                <w:tcPr>
                  <w:tcW w:w="531" w:type="pct"/>
                  <w:vMerge w:val="continue"/>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7" w:type="pct"/>
                  <w:noWrap w:val="0"/>
                  <w:vAlign w:val="center"/>
                </w:tcPr>
                <w:p>
                  <w:pPr>
                    <w:widowControl/>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四期项目</w:t>
                  </w:r>
                </w:p>
              </w:tc>
              <w:tc>
                <w:tcPr>
                  <w:tcW w:w="956" w:type="pct"/>
                  <w:noWrap w:val="0"/>
                  <w:vAlign w:val="center"/>
                </w:tcPr>
                <w:p>
                  <w:pPr>
                    <w:widowControl/>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zCs w:val="21"/>
                      <w:highlight w:val="none"/>
                    </w:rPr>
                    <w:t>年产320万付喷油器改建、技术中心扩建和工业废水处理站新建项目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2011年1月</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无锡市新区规划建设环保局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2013年2月</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无锡市新区建设环保局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7" w:type="pct"/>
                  <w:noWrap w:val="0"/>
                  <w:vAlign w:val="center"/>
                </w:tcPr>
                <w:p>
                  <w:pPr>
                    <w:widowControl/>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五期项目</w:t>
                  </w:r>
                </w:p>
              </w:tc>
              <w:tc>
                <w:tcPr>
                  <w:tcW w:w="9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年产400万付喷油器扩建项目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2011年3月</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无锡市新区规划建设环保局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1288" w:type="pct"/>
                  <w:gridSpan w:val="2"/>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2"/>
                      <w:szCs w:val="21"/>
                      <w:highlight w:val="none"/>
                    </w:rPr>
                    <w:t>未投产，由于公司计划，该项目目前不再建设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487" w:type="pct"/>
                  <w:vMerge w:val="restart"/>
                  <w:noWrap w:val="0"/>
                  <w:vAlign w:val="center"/>
                </w:tcPr>
                <w:p>
                  <w:pPr>
                    <w:widowControl/>
                    <w:adjustRightInd w:val="0"/>
                    <w:snapToGrid w:val="0"/>
                    <w:jc w:val="center"/>
                    <w:rPr>
                      <w:rFonts w:hint="default" w:ascii="Times New Roman" w:hAnsi="Times New Roman" w:eastAsia="宋体" w:cs="Times New Roman"/>
                      <w:b w:val="0"/>
                      <w:bCs w:val="0"/>
                      <w:color w:val="auto"/>
                      <w:spacing w:val="-2"/>
                      <w:szCs w:val="21"/>
                      <w:highlight w:val="none"/>
                    </w:rPr>
                  </w:pPr>
                  <w:r>
                    <w:rPr>
                      <w:rFonts w:hint="default" w:ascii="Times New Roman" w:hAnsi="Times New Roman" w:eastAsia="宋体" w:cs="Times New Roman"/>
                      <w:b w:val="0"/>
                      <w:bCs w:val="0"/>
                      <w:color w:val="auto"/>
                      <w:spacing w:val="-2"/>
                      <w:szCs w:val="21"/>
                      <w:highlight w:val="none"/>
                    </w:rPr>
                    <w:t>六期项目</w:t>
                  </w:r>
                </w:p>
              </w:tc>
              <w:tc>
                <w:tcPr>
                  <w:tcW w:w="956" w:type="pct"/>
                  <w:vMerge w:val="restart"/>
                  <w:noWrap w:val="0"/>
                  <w:vAlign w:val="center"/>
                </w:tcPr>
                <w:p>
                  <w:pPr>
                    <w:widowControl/>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年产700万个HDP5高压泵体、70万只再制造喷油器和74万个尾气后处理系统扩建项目</w:t>
                  </w:r>
                </w:p>
              </w:tc>
              <w:tc>
                <w:tcPr>
                  <w:tcW w:w="555"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2013年1月</w:t>
                  </w:r>
                </w:p>
              </w:tc>
              <w:tc>
                <w:tcPr>
                  <w:tcW w:w="756"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无锡市新区规划建设环保局</w:t>
                  </w:r>
                </w:p>
              </w:tc>
              <w:tc>
                <w:tcPr>
                  <w:tcW w:w="956" w:type="pct"/>
                  <w:gridSpan w:val="2"/>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第一阶段（年产300万个HDP5高压泵体）</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2014年7月</w:t>
                  </w:r>
                </w:p>
              </w:tc>
              <w:tc>
                <w:tcPr>
                  <w:tcW w:w="531"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无锡市新区建设环保局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487" w:type="pct"/>
                  <w:vMerge w:val="continue"/>
                  <w:noWrap w:val="0"/>
                  <w:vAlign w:val="center"/>
                </w:tcPr>
                <w:p>
                  <w:pPr>
                    <w:widowControl/>
                    <w:adjustRightInd w:val="0"/>
                    <w:snapToGrid w:val="0"/>
                    <w:jc w:val="center"/>
                    <w:rPr>
                      <w:rFonts w:hint="default" w:ascii="Times New Roman" w:hAnsi="Times New Roman" w:eastAsia="宋体" w:cs="Times New Roman"/>
                      <w:color w:val="auto"/>
                      <w:spacing w:val="-2"/>
                      <w:szCs w:val="21"/>
                      <w:highlight w:val="none"/>
                    </w:rPr>
                  </w:pPr>
                </w:p>
              </w:tc>
              <w:tc>
                <w:tcPr>
                  <w:tcW w:w="9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第二阶段（</w:t>
                  </w:r>
                  <w:r>
                    <w:rPr>
                      <w:rFonts w:hint="default" w:ascii="Times New Roman" w:hAnsi="Times New Roman" w:eastAsia="宋体" w:cs="Times New Roman"/>
                      <w:color w:val="auto"/>
                      <w:sz w:val="20"/>
                      <w:szCs w:val="20"/>
                      <w:highlight w:val="none"/>
                    </w:rPr>
                    <w:t>年产70万只再制造喷油器和37万个尾气后处理系统</w:t>
                  </w:r>
                  <w:r>
                    <w:rPr>
                      <w:rFonts w:hint="default" w:ascii="Times New Roman" w:hAnsi="Times New Roman" w:eastAsia="宋体" w:cs="Times New Roman"/>
                      <w:color w:val="auto"/>
                      <w:highlight w:val="none"/>
                    </w:rPr>
                    <w:t>）</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2015年5月</w:t>
                  </w:r>
                </w:p>
              </w:tc>
              <w:tc>
                <w:tcPr>
                  <w:tcW w:w="531"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487" w:type="pct"/>
                  <w:vMerge w:val="continue"/>
                  <w:noWrap w:val="0"/>
                  <w:vAlign w:val="center"/>
                </w:tcPr>
                <w:p>
                  <w:pPr>
                    <w:widowControl/>
                    <w:adjustRightInd w:val="0"/>
                    <w:snapToGrid w:val="0"/>
                    <w:jc w:val="center"/>
                    <w:rPr>
                      <w:rFonts w:hint="default" w:ascii="Times New Roman" w:hAnsi="Times New Roman" w:eastAsia="宋体" w:cs="Times New Roman"/>
                      <w:color w:val="auto"/>
                      <w:spacing w:val="-2"/>
                      <w:szCs w:val="21"/>
                      <w:highlight w:val="none"/>
                    </w:rPr>
                  </w:pPr>
                </w:p>
              </w:tc>
              <w:tc>
                <w:tcPr>
                  <w:tcW w:w="9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第三阶段（</w:t>
                  </w:r>
                  <w:r>
                    <w:rPr>
                      <w:rFonts w:hint="default" w:ascii="Times New Roman" w:hAnsi="Times New Roman" w:eastAsia="宋体" w:cs="Times New Roman"/>
                      <w:color w:val="auto"/>
                      <w:sz w:val="20"/>
                      <w:szCs w:val="20"/>
                      <w:highlight w:val="none"/>
                    </w:rPr>
                    <w:t>年产150万个HDP5高压泵体</w:t>
                  </w:r>
                  <w:r>
                    <w:rPr>
                      <w:rFonts w:hint="default" w:ascii="Times New Roman" w:hAnsi="Times New Roman" w:eastAsia="宋体" w:cs="Times New Roman"/>
                      <w:color w:val="auto"/>
                      <w:highlight w:val="none"/>
                    </w:rPr>
                    <w:t>）</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2016年4月</w:t>
                  </w:r>
                </w:p>
              </w:tc>
              <w:tc>
                <w:tcPr>
                  <w:tcW w:w="531"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7" w:type="pct"/>
                  <w:noWrap w:val="0"/>
                  <w:vAlign w:val="center"/>
                </w:tcPr>
                <w:p>
                  <w:pPr>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七期项目</w:t>
                  </w:r>
                </w:p>
              </w:tc>
              <w:tc>
                <w:tcPr>
                  <w:tcW w:w="9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压缩天然气供气系统新建项目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2013年6月</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无锡市环境保护局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2014年7月</w:t>
                  </w:r>
                </w:p>
              </w:tc>
              <w:tc>
                <w:tcPr>
                  <w:tcW w:w="531"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7" w:type="pct"/>
                  <w:noWrap w:val="0"/>
                  <w:vAlign w:val="center"/>
                </w:tcPr>
                <w:p>
                  <w:pPr>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八期项目</w:t>
                  </w:r>
                </w:p>
              </w:tc>
              <w:tc>
                <w:tcPr>
                  <w:tcW w:w="9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年产5万套燃气/双燃料系统及其组件、10万个再制造尾气后处理系统和1万套再制造燃气/双燃料系统扩建项目（申报登记表）</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2013年6月</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无锡市新区建设环保局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2"/>
                      <w:szCs w:val="21"/>
                      <w:highlight w:val="none"/>
                    </w:rPr>
                    <w:t>未投产</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7" w:type="pct"/>
                  <w:noWrap w:val="0"/>
                  <w:vAlign w:val="center"/>
                </w:tcPr>
                <w:p>
                  <w:pPr>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九期项目</w:t>
                  </w:r>
                </w:p>
              </w:tc>
              <w:tc>
                <w:tcPr>
                  <w:tcW w:w="9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年清洗塑料周转箱210000个扩建项目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2013年8月</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无锡市新区建设环保局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2014年3月</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无锡市新区建设环保局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14" w:hRule="atLeast"/>
                <w:jc w:val="center"/>
              </w:trPr>
              <w:tc>
                <w:tcPr>
                  <w:tcW w:w="487" w:type="pct"/>
                  <w:noWrap w:val="0"/>
                  <w:vAlign w:val="center"/>
                </w:tcPr>
                <w:p>
                  <w:pPr>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十期</w:t>
                  </w:r>
                </w:p>
                <w:p>
                  <w:pPr>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项目</w:t>
                  </w:r>
                </w:p>
              </w:tc>
              <w:tc>
                <w:tcPr>
                  <w:tcW w:w="9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年产60万个高压油泵和喷油器升级换代改扩建项目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2013年11月</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无锡市新区建设环保局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未投产</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7" w:type="pct"/>
                  <w:noWrap w:val="0"/>
                  <w:vAlign w:val="center"/>
                </w:tcPr>
                <w:p>
                  <w:pPr>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十一期</w:t>
                  </w:r>
                </w:p>
                <w:p>
                  <w:pPr>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项目</w:t>
                  </w:r>
                </w:p>
              </w:tc>
              <w:tc>
                <w:tcPr>
                  <w:tcW w:w="9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年产高压油泵60万个、共轨油嘴308万个扩建项目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2014年6月</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无锡市新区建设环保局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第一阶段年产共轨油嘴308万个</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2017年7月</w:t>
                  </w:r>
                </w:p>
              </w:tc>
              <w:tc>
                <w:tcPr>
                  <w:tcW w:w="531"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无锡市新吴区安全生产监督管理和环境保护局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7" w:type="pct"/>
                  <w:noWrap w:val="0"/>
                  <w:vAlign w:val="center"/>
                </w:tcPr>
                <w:p>
                  <w:pPr>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十二期</w:t>
                  </w:r>
                </w:p>
                <w:p>
                  <w:pPr>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项目</w:t>
                  </w:r>
                </w:p>
              </w:tc>
              <w:tc>
                <w:tcPr>
                  <w:tcW w:w="9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年产770万个喷油器阀座氮化铬涂层扩建项目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2015年1月</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无锡市新区建设环保局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2017年7月</w:t>
                  </w:r>
                </w:p>
              </w:tc>
              <w:tc>
                <w:tcPr>
                  <w:tcW w:w="531"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87"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十三期</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p>
              </w:tc>
              <w:tc>
                <w:tcPr>
                  <w:tcW w:w="9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年产280万个共轨油轨产品扩建项目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2015年4月</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无锡市新区建设环保局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2016年6月</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无锡市新区建设环保局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5" w:hRule="atLeast"/>
                <w:jc w:val="center"/>
              </w:trPr>
              <w:tc>
                <w:tcPr>
                  <w:tcW w:w="487"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十四期</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p>
              </w:tc>
              <w:tc>
                <w:tcPr>
                  <w:tcW w:w="95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新增年产300万个阀座热处理项目</w:t>
                  </w:r>
                </w:p>
              </w:tc>
              <w:tc>
                <w:tcPr>
                  <w:tcW w:w="555"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2016年8月</w:t>
                  </w:r>
                </w:p>
              </w:tc>
              <w:tc>
                <w:tcPr>
                  <w:tcW w:w="756"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无锡市新区建设环保局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0"/>
                      <w:szCs w:val="20"/>
                      <w:highlight w:val="none"/>
                    </w:rPr>
                    <w:t>废气、废水</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2018年5月</w:t>
                  </w:r>
                </w:p>
              </w:tc>
              <w:tc>
                <w:tcPr>
                  <w:tcW w:w="531" w:type="pct"/>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1" w:hRule="atLeast"/>
                <w:jc w:val="center"/>
              </w:trPr>
              <w:tc>
                <w:tcPr>
                  <w:tcW w:w="48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5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噪声、固废</w:t>
                  </w:r>
                </w:p>
              </w:tc>
              <w:tc>
                <w:tcPr>
                  <w:tcW w:w="756" w:type="pct"/>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2018年8月</w:t>
                  </w:r>
                </w:p>
              </w:tc>
              <w:tc>
                <w:tcPr>
                  <w:tcW w:w="531" w:type="pct"/>
                  <w:noWrap w:val="0"/>
                  <w:vAlign w:val="center"/>
                </w:tcPr>
                <w:p>
                  <w:pPr>
                    <w:adjustRightInd w:val="0"/>
                    <w:snapToGrid w:val="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rPr>
                    <w:t>无锡市新吴区安全生产监督管理和环境保护局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487"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十五期</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p>
              </w:tc>
              <w:tc>
                <w:tcPr>
                  <w:tcW w:w="95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年产1200万个柴油发动机零件类金刚石涂层和52万个齿轮泵项目</w:t>
                  </w:r>
                </w:p>
              </w:tc>
              <w:tc>
                <w:tcPr>
                  <w:tcW w:w="555"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2017年6月</w:t>
                  </w:r>
                </w:p>
              </w:tc>
              <w:tc>
                <w:tcPr>
                  <w:tcW w:w="756"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无锡市新吴区安全生产监督管理和环境保护局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废气、废水、噪声</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2019年2月</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48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5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固废</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2019年4月</w:t>
                  </w:r>
                </w:p>
              </w:tc>
              <w:tc>
                <w:tcPr>
                  <w:tcW w:w="531" w:type="pct"/>
                  <w:noWrap w:val="0"/>
                  <w:vAlign w:val="center"/>
                </w:tcPr>
                <w:p>
                  <w:pPr>
                    <w:adjustRightInd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无锡市新吴区安全生产监督管理和环境保护局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487"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十六期项目</w:t>
                  </w:r>
                </w:p>
              </w:tc>
              <w:tc>
                <w:tcPr>
                  <w:tcW w:w="95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年打印100件三维塑料件项目</w:t>
                  </w:r>
                </w:p>
              </w:tc>
              <w:tc>
                <w:tcPr>
                  <w:tcW w:w="555"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2018年1月</w:t>
                  </w:r>
                </w:p>
              </w:tc>
              <w:tc>
                <w:tcPr>
                  <w:tcW w:w="756"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无锡市新吴区安全生产监督管理和环境保护局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废气、废水</w:t>
                  </w:r>
                </w:p>
              </w:tc>
              <w:tc>
                <w:tcPr>
                  <w:tcW w:w="756" w:type="pct"/>
                  <w:noWrap w:val="0"/>
                  <w:vAlign w:val="center"/>
                </w:tcPr>
                <w:p>
                  <w:pPr>
                    <w:adjustRightInd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2018年5月</w:t>
                  </w:r>
                </w:p>
              </w:tc>
              <w:tc>
                <w:tcPr>
                  <w:tcW w:w="531" w:type="pct"/>
                  <w:noWrap w:val="0"/>
                  <w:vAlign w:val="center"/>
                </w:tcPr>
                <w:p>
                  <w:pPr>
                    <w:adjustRightInd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07" w:hRule="atLeast"/>
                <w:jc w:val="center"/>
              </w:trPr>
              <w:tc>
                <w:tcPr>
                  <w:tcW w:w="48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5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固废、噪声</w:t>
                  </w:r>
                </w:p>
              </w:tc>
              <w:tc>
                <w:tcPr>
                  <w:tcW w:w="756" w:type="pct"/>
                  <w:noWrap w:val="0"/>
                  <w:vAlign w:val="center"/>
                </w:tcPr>
                <w:p>
                  <w:pPr>
                    <w:adjustRightInd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2019年1月</w:t>
                  </w:r>
                </w:p>
              </w:tc>
              <w:tc>
                <w:tcPr>
                  <w:tcW w:w="531" w:type="pct"/>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无锡市</w:t>
                  </w:r>
                </w:p>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新吴区</w:t>
                  </w:r>
                </w:p>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安全生</w:t>
                  </w:r>
                </w:p>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产监督</w:t>
                  </w:r>
                </w:p>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管理和</w:t>
                  </w:r>
                </w:p>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环境保</w:t>
                  </w:r>
                </w:p>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护局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487"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十七期项目</w:t>
                  </w:r>
                </w:p>
              </w:tc>
              <w:tc>
                <w:tcPr>
                  <w:tcW w:w="95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年产185万个尾气后处理系统和配套实验室项目</w:t>
                  </w:r>
                </w:p>
              </w:tc>
              <w:tc>
                <w:tcPr>
                  <w:tcW w:w="555"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2018年5月</w:t>
                  </w:r>
                </w:p>
              </w:tc>
              <w:tc>
                <w:tcPr>
                  <w:tcW w:w="756"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无锡市新吴区安全生产监督管理和环境保护局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废气、废水、噪声</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2019年2月</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48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5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固废</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2019年4月</w:t>
                  </w:r>
                </w:p>
              </w:tc>
              <w:tc>
                <w:tcPr>
                  <w:tcW w:w="531" w:type="pct"/>
                  <w:noWrap w:val="0"/>
                  <w:vAlign w:val="center"/>
                </w:tcPr>
                <w:p>
                  <w:pPr>
                    <w:adjustRightInd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无锡市新吴区安全生产监督管理和环境保护局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87"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十八期项目</w:t>
                  </w:r>
                </w:p>
              </w:tc>
              <w:tc>
                <w:tcPr>
                  <w:tcW w:w="95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污水处理站年工业污水最大处理能力升级至36000吨项目</w:t>
                  </w:r>
                </w:p>
              </w:tc>
              <w:tc>
                <w:tcPr>
                  <w:tcW w:w="555"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2018年6月</w:t>
                  </w: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636"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第一阶段（25200t）</w:t>
                  </w:r>
                </w:p>
              </w:tc>
              <w:tc>
                <w:tcPr>
                  <w:tcW w:w="320"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w:t>
                  </w:r>
                </w:p>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噪声</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2019年2月</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48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5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636" w:type="pct"/>
                  <w:vMerge w:val="continue"/>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c>
                <w:tcPr>
                  <w:tcW w:w="320" w:type="pc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固废</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2019年4月</w:t>
                  </w:r>
                </w:p>
              </w:tc>
              <w:tc>
                <w:tcPr>
                  <w:tcW w:w="531" w:type="pct"/>
                  <w:noWrap w:val="0"/>
                  <w:vAlign w:val="center"/>
                </w:tcPr>
                <w:p>
                  <w:pPr>
                    <w:adjustRightInd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无锡市新吴区安全生产监督管理和环境保护局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48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5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636" w:type="pct"/>
                  <w:vMerge w:val="restar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第二阶段（10800t）</w:t>
                  </w:r>
                </w:p>
              </w:tc>
              <w:tc>
                <w:tcPr>
                  <w:tcW w:w="320"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w:t>
                  </w:r>
                </w:p>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噪声</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2020.4.29</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48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5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636" w:type="pct"/>
                  <w:vMerge w:val="continue"/>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c>
                <w:tcPr>
                  <w:tcW w:w="320" w:type="pc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固废</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2020.8.31</w:t>
                  </w:r>
                </w:p>
              </w:tc>
              <w:tc>
                <w:tcPr>
                  <w:tcW w:w="531" w:type="pct"/>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无锡市新吴区生态环境局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487"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十九期项目</w:t>
                  </w:r>
                </w:p>
              </w:tc>
              <w:tc>
                <w:tcPr>
                  <w:tcW w:w="95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年清洗塑料周转箱180万个项目</w:t>
                  </w:r>
                </w:p>
              </w:tc>
              <w:tc>
                <w:tcPr>
                  <w:tcW w:w="555"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2019年1月</w:t>
                  </w: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废气、废水、噪声</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2019年8月</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48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5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固废</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2020.2.6</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无锡市新吴区生态环境局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487"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二十期项目</w:t>
                  </w:r>
                </w:p>
              </w:tc>
              <w:tc>
                <w:tcPr>
                  <w:tcW w:w="95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年产102万个尾气后处理系统和配套实验室项目</w:t>
                  </w:r>
                </w:p>
              </w:tc>
              <w:tc>
                <w:tcPr>
                  <w:tcW w:w="555"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2019年5月</w:t>
                  </w: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废气、废水、噪声</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2019年8月</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48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5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2020.2.6</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无锡市新吴生态环境局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487"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二十一期项目</w:t>
                  </w:r>
                </w:p>
              </w:tc>
              <w:tc>
                <w:tcPr>
                  <w:tcW w:w="95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新建燃料电池研发中心项目</w:t>
                  </w:r>
                </w:p>
              </w:tc>
              <w:tc>
                <w:tcPr>
                  <w:tcW w:w="555"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2019年5月</w:t>
                  </w: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1713" w:type="pct"/>
                  <w:gridSpan w:val="3"/>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第一阶段</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燃料电池系统测试、电堆测试项目已于2021年3月25日完成</w:t>
                  </w:r>
                </w:p>
              </w:tc>
              <w:tc>
                <w:tcPr>
                  <w:tcW w:w="531" w:type="pct"/>
                  <w:vMerge w:val="restar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48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5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1713" w:type="pct"/>
                  <w:gridSpan w:val="3"/>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第二阶段建设中</w:t>
                  </w:r>
                </w:p>
              </w:tc>
              <w:tc>
                <w:tcPr>
                  <w:tcW w:w="531" w:type="pct"/>
                  <w:vMerge w:val="continue"/>
                  <w:noWrap w:val="0"/>
                  <w:vAlign w:val="center"/>
                </w:tcPr>
                <w:p>
                  <w:pPr>
                    <w:widowControl/>
                    <w:adjustRightInd w:val="0"/>
                    <w:snapToGrid w:val="0"/>
                    <w:jc w:val="center"/>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487"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二十二期</w:t>
                  </w:r>
                </w:p>
              </w:tc>
              <w:tc>
                <w:tcPr>
                  <w:tcW w:w="95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新增清洁设备用于针阀体清洗项目</w:t>
                  </w:r>
                </w:p>
              </w:tc>
              <w:tc>
                <w:tcPr>
                  <w:tcW w:w="555"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2019年7月22号</w:t>
                  </w: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废气、废水、噪声</w:t>
                  </w:r>
                </w:p>
              </w:tc>
              <w:tc>
                <w:tcPr>
                  <w:tcW w:w="7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2020.4.29</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48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5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固废</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2020.8.31</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无锡市新吴生态环境局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487" w:type="pct"/>
                  <w:vMerge w:val="restar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二十三期</w:t>
                  </w:r>
                </w:p>
              </w:tc>
              <w:tc>
                <w:tcPr>
                  <w:tcW w:w="956" w:type="pct"/>
                  <w:vMerge w:val="restar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新增年产800万个汽油高压泵体项目</w:t>
                  </w:r>
                </w:p>
              </w:tc>
              <w:tc>
                <w:tcPr>
                  <w:tcW w:w="555"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2019年9月9号</w:t>
                  </w: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废气、废水、噪声</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第一阶段（100万个）：2020.4.29</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48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5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固废</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第一阶段（100万个）：2020.8.31</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无锡市新吴生态环境局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487"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二十四期</w:t>
                  </w:r>
                </w:p>
              </w:tc>
              <w:tc>
                <w:tcPr>
                  <w:tcW w:w="9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年产高压共轨柴油喷油器1000万只项目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2019年10月12号</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无锡市新吴生态环境局</w:t>
                  </w:r>
                </w:p>
              </w:tc>
              <w:tc>
                <w:tcPr>
                  <w:tcW w:w="1713" w:type="pct"/>
                  <w:gridSpan w:val="3"/>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2021年5月20号</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487"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二十五期</w:t>
                  </w:r>
                </w:p>
              </w:tc>
              <w:tc>
                <w:tcPr>
                  <w:tcW w:w="95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中水回用项目</w:t>
                  </w:r>
                </w:p>
              </w:tc>
              <w:tc>
                <w:tcPr>
                  <w:tcW w:w="555"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2020年3月5日</w:t>
                  </w:r>
                </w:p>
              </w:tc>
              <w:tc>
                <w:tcPr>
                  <w:tcW w:w="756"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无锡市新吴生态环境局</w:t>
                  </w:r>
                </w:p>
              </w:tc>
              <w:tc>
                <w:tcPr>
                  <w:tcW w:w="956" w:type="pct"/>
                  <w:gridSpan w:val="2"/>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废气、废水、噪声</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2"/>
                      <w:szCs w:val="21"/>
                      <w:highlight w:val="none"/>
                    </w:rPr>
                    <w:t>2020年4月</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2"/>
                      <w:szCs w:val="21"/>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48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5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55"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756"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956" w:type="pct"/>
                  <w:gridSpan w:val="2"/>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固废</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2020.8.31</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zCs w:val="21"/>
                      <w:highlight w:val="none"/>
                    </w:rPr>
                    <w:t>无锡市新吴生态环境局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487"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二十六期</w:t>
                  </w:r>
                </w:p>
              </w:tc>
              <w:tc>
                <w:tcPr>
                  <w:tcW w:w="9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年产67万个CB4泵高压部件装配和测试项目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2020年6月17号</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无锡市新吴生态环境局</w:t>
                  </w:r>
                </w:p>
              </w:tc>
              <w:tc>
                <w:tcPr>
                  <w:tcW w:w="1713" w:type="pct"/>
                  <w:gridSpan w:val="3"/>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2021年3月25号</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487"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二十七期</w:t>
                  </w:r>
                </w:p>
              </w:tc>
              <w:tc>
                <w:tcPr>
                  <w:tcW w:w="9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年产20000个燃料电池产品生产和测试项目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2021年8月9号</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无锡市新吴生态环境局</w:t>
                  </w:r>
                </w:p>
              </w:tc>
              <w:tc>
                <w:tcPr>
                  <w:tcW w:w="1713" w:type="pct"/>
                  <w:gridSpan w:val="3"/>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第一阶段测试项目</w:t>
                  </w:r>
                </w:p>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2021年10月22号</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487"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二十八期</w:t>
                  </w:r>
                </w:p>
              </w:tc>
              <w:tc>
                <w:tcPr>
                  <w:tcW w:w="9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年产100万件尿素喷嘴项目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2021年11月22日</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无锡市新吴生态环境局</w:t>
                  </w:r>
                </w:p>
              </w:tc>
              <w:tc>
                <w:tcPr>
                  <w:tcW w:w="1713" w:type="pct"/>
                  <w:gridSpan w:val="3"/>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2022年1月20号</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40" w:hRule="atLeast"/>
                <w:jc w:val="center"/>
              </w:trPr>
              <w:tc>
                <w:tcPr>
                  <w:tcW w:w="487"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二十九期</w:t>
                  </w:r>
                </w:p>
              </w:tc>
              <w:tc>
                <w:tcPr>
                  <w:tcW w:w="9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共轨油嘴产能提升至2000万付项目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2022年1月12日</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无锡市新吴生态环境局</w:t>
                  </w:r>
                </w:p>
              </w:tc>
              <w:tc>
                <w:tcPr>
                  <w:tcW w:w="1713" w:type="pct"/>
                  <w:gridSpan w:val="3"/>
                  <w:noWrap w:val="0"/>
                  <w:vAlign w:val="center"/>
                </w:tcPr>
                <w:p>
                  <w:pPr>
                    <w:widowControl/>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2022年7月29日</w:t>
                  </w:r>
                </w:p>
              </w:tc>
              <w:tc>
                <w:tcPr>
                  <w:tcW w:w="531" w:type="pct"/>
                  <w:noWrap w:val="0"/>
                  <w:vAlign w:val="center"/>
                </w:tcPr>
                <w:p>
                  <w:pPr>
                    <w:widowControl/>
                    <w:adjustRightInd w:val="0"/>
                    <w:snapToGrid w:val="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487"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三十期</w:t>
                  </w:r>
                </w:p>
              </w:tc>
              <w:tc>
                <w:tcPr>
                  <w:tcW w:w="9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年产160万支后国六国七共轨喷油器本地化项目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2022年5月7日</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无锡市新吴生态环境局</w:t>
                  </w:r>
                </w:p>
              </w:tc>
              <w:tc>
                <w:tcPr>
                  <w:tcW w:w="1713" w:type="pct"/>
                  <w:gridSpan w:val="3"/>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建设中</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40" w:hRule="atLeast"/>
                <w:jc w:val="center"/>
              </w:trPr>
              <w:tc>
                <w:tcPr>
                  <w:tcW w:w="487"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三十一期</w:t>
                  </w:r>
                </w:p>
              </w:tc>
              <w:tc>
                <w:tcPr>
                  <w:tcW w:w="956"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汽油系统高压泵体生产线搬迁项目</w:t>
                  </w:r>
                </w:p>
              </w:tc>
              <w:tc>
                <w:tcPr>
                  <w:tcW w:w="555"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2022年8月10日</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无锡市新吴生态环境局</w:t>
                  </w:r>
                </w:p>
              </w:tc>
              <w:tc>
                <w:tcPr>
                  <w:tcW w:w="1713" w:type="pct"/>
                  <w:gridSpan w:val="3"/>
                  <w:noWrap w:val="0"/>
                  <w:vAlign w:val="center"/>
                </w:tcPr>
                <w:p>
                  <w:pPr>
                    <w:widowControl/>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建设中</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487"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三十二期</w:t>
                  </w:r>
                </w:p>
              </w:tc>
              <w:tc>
                <w:tcPr>
                  <w:tcW w:w="956"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燃料电池电堆及膜电极生产项目</w:t>
                  </w:r>
                </w:p>
              </w:tc>
              <w:tc>
                <w:tcPr>
                  <w:tcW w:w="555" w:type="pct"/>
                  <w:noWrap w:val="0"/>
                  <w:vAlign w:val="center"/>
                </w:tcPr>
                <w:p>
                  <w:pPr>
                    <w:widowControl/>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2022年11月3日</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无锡市新吴生态环境局</w:t>
                  </w:r>
                </w:p>
              </w:tc>
              <w:tc>
                <w:tcPr>
                  <w:tcW w:w="1713" w:type="pct"/>
                  <w:gridSpan w:val="3"/>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准备建设中</w:t>
                  </w:r>
                </w:p>
              </w:tc>
              <w:tc>
                <w:tcPr>
                  <w:tcW w:w="531" w:type="pct"/>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487" w:type="pct"/>
                  <w:noWrap w:val="0"/>
                  <w:vAlign w:val="center"/>
                </w:tcPr>
                <w:p>
                  <w:pPr>
                    <w:adjustRightInd w:val="0"/>
                    <w:snapToGrid w:val="0"/>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三十三期</w:t>
                  </w:r>
                </w:p>
              </w:tc>
              <w:tc>
                <w:tcPr>
                  <w:tcW w:w="956"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color w:val="auto"/>
                      <w:szCs w:val="21"/>
                      <w:highlight w:val="none"/>
                    </w:rPr>
                    <w:t>CB4泵高压组件和尿素泵产能提升项目</w:t>
                  </w:r>
                </w:p>
              </w:tc>
              <w:tc>
                <w:tcPr>
                  <w:tcW w:w="555" w:type="pct"/>
                  <w:noWrap w:val="0"/>
                  <w:vAlign w:val="center"/>
                </w:tcPr>
                <w:p>
                  <w:pPr>
                    <w:widowControl/>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2023年1月3日</w:t>
                  </w:r>
                </w:p>
              </w:tc>
              <w:tc>
                <w:tcPr>
                  <w:tcW w:w="756"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无锡市新吴生态环境局</w:t>
                  </w:r>
                </w:p>
              </w:tc>
              <w:tc>
                <w:tcPr>
                  <w:tcW w:w="1713" w:type="pct"/>
                  <w:gridSpan w:val="3"/>
                  <w:noWrap w:val="0"/>
                  <w:vAlign w:val="center"/>
                </w:tcPr>
                <w:p>
                  <w:pPr>
                    <w:widowControl/>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准备建设中</w:t>
                  </w:r>
                </w:p>
              </w:tc>
              <w:tc>
                <w:tcPr>
                  <w:tcW w:w="531" w:type="pct"/>
                  <w:noWrap w:val="0"/>
                  <w:vAlign w:val="center"/>
                </w:tcPr>
                <w:p>
                  <w:pPr>
                    <w:widowControl/>
                    <w:adjustRightInd w:val="0"/>
                    <w:snapToGrid w:val="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bl>
          <w:p>
            <w:pPr>
              <w:tabs>
                <w:tab w:val="left" w:pos="425"/>
              </w:tabs>
              <w:adjustRightInd w:val="0"/>
              <w:snapToGrid w:val="0"/>
              <w:spacing w:line="240" w:lineRule="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注：308车间内</w:t>
            </w:r>
            <w:r>
              <w:rPr>
                <w:rFonts w:hint="default" w:ascii="Times New Roman" w:hAnsi="Times New Roman" w:eastAsia="宋体" w:cs="Times New Roman"/>
                <w:b/>
                <w:bCs w:val="0"/>
                <w:color w:val="auto"/>
                <w:szCs w:val="21"/>
                <w:highlight w:val="none"/>
              </w:rPr>
              <w:t>第六期和第二十三期项目已核准的HDP5高压泵体750万个/年和汽油高压泵体800万个/年项目已建成的工程（HDP5高压泵体300万个/年和汽油高压泵体800万个/年），</w:t>
            </w:r>
            <w:r>
              <w:rPr>
                <w:rFonts w:hint="default" w:ascii="Times New Roman" w:hAnsi="Times New Roman" w:eastAsia="宋体" w:cs="Times New Roman"/>
                <w:b/>
                <w:bCs w:val="0"/>
                <w:color w:val="auto"/>
                <w:sz w:val="21"/>
                <w:szCs w:val="21"/>
                <w:highlight w:val="none"/>
                <w:lang w:val="en-US" w:eastAsia="zh-CN"/>
              </w:rPr>
              <w:t>在第三十一期项目中搬迁至里河路厂区，里河路厂区形成年产1250万个高压泵体的产能。</w:t>
            </w:r>
          </w:p>
          <w:p>
            <w:pPr>
              <w:keepNext w:val="0"/>
              <w:keepLines w:val="0"/>
              <w:pageBreakBefore w:val="0"/>
              <w:tabs>
                <w:tab w:val="left" w:pos="425"/>
              </w:tabs>
              <w:kinsoku/>
              <w:wordWrap/>
              <w:overflowPunct/>
              <w:topLinePunct w:val="0"/>
              <w:autoSpaceDE/>
              <w:autoSpaceDN/>
              <w:bidi w:val="0"/>
              <w:adjustRightInd w:val="0"/>
              <w:snapToGrid w:val="0"/>
              <w:spacing w:line="460" w:lineRule="exact"/>
              <w:ind w:right="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（2）现有工程排污许可证受理办理情况</w:t>
            </w:r>
          </w:p>
          <w:p>
            <w:pPr>
              <w:keepNext w:val="0"/>
              <w:keepLines w:val="0"/>
              <w:pageBreakBefore w:val="0"/>
              <w:tabs>
                <w:tab w:val="left" w:pos="425"/>
              </w:tabs>
              <w:kinsoku/>
              <w:wordWrap/>
              <w:overflowPunct/>
              <w:topLinePunct w:val="0"/>
              <w:autoSpaceDE/>
              <w:autoSpaceDN/>
              <w:bidi w:val="0"/>
              <w:adjustRightInd w:val="0"/>
              <w:snapToGrid w:val="0"/>
              <w:spacing w:line="460" w:lineRule="exact"/>
              <w:ind w:right="0" w:firstLine="48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建设单位</w:t>
            </w:r>
            <w:r>
              <w:rPr>
                <w:rFonts w:hint="eastAsia" w:cs="Times New Roman"/>
                <w:bCs/>
                <w:color w:val="auto"/>
                <w:sz w:val="24"/>
                <w:highlight w:val="none"/>
                <w:lang w:val="en-US" w:eastAsia="zh-CN"/>
              </w:rPr>
              <w:t>排污</w:t>
            </w:r>
            <w:r>
              <w:rPr>
                <w:rFonts w:hint="default" w:ascii="Times New Roman" w:hAnsi="Times New Roman" w:eastAsia="宋体" w:cs="Times New Roman"/>
                <w:bCs/>
                <w:color w:val="auto"/>
                <w:sz w:val="24"/>
                <w:highlight w:val="none"/>
              </w:rPr>
              <w:t>许可证编号为：91320214607917966G001W</w:t>
            </w:r>
            <w:r>
              <w:rPr>
                <w:rFonts w:hint="eastAsia" w:cs="Times New Roman"/>
                <w:bCs/>
                <w:color w:val="auto"/>
                <w:sz w:val="24"/>
                <w:highlight w:val="none"/>
                <w:lang w:eastAsia="zh-CN"/>
              </w:rPr>
              <w:t>，</w:t>
            </w:r>
            <w:r>
              <w:rPr>
                <w:rFonts w:hint="eastAsia" w:cs="Times New Roman"/>
                <w:bCs/>
                <w:color w:val="auto"/>
                <w:sz w:val="24"/>
                <w:highlight w:val="none"/>
                <w:lang w:val="en-US" w:eastAsia="zh-CN"/>
              </w:rPr>
              <w:t>有效期2022-06-23至2027-06-22</w:t>
            </w:r>
            <w:r>
              <w:rPr>
                <w:rFonts w:hint="default" w:ascii="Times New Roman" w:hAnsi="Times New Roman" w:eastAsia="宋体" w:cs="Times New Roman"/>
                <w:bCs/>
                <w:color w:val="auto"/>
                <w:sz w:val="24"/>
                <w:highlight w:val="none"/>
              </w:rPr>
              <w:t>。</w:t>
            </w:r>
          </w:p>
          <w:p>
            <w:pPr>
              <w:pStyle w:val="2"/>
              <w:keepNext w:val="0"/>
              <w:keepLines w:val="0"/>
              <w:pageBreakBefore w:val="0"/>
              <w:kinsoku/>
              <w:wordWrap/>
              <w:overflowPunct/>
              <w:topLinePunct w:val="0"/>
              <w:autoSpaceDE/>
              <w:autoSpaceDN/>
              <w:bidi w:val="0"/>
              <w:spacing w:before="0" w:after="0" w:line="460" w:lineRule="exact"/>
              <w:ind w:right="0"/>
              <w:textAlignment w:val="auto"/>
              <w:rPr>
                <w:rFonts w:hint="eastAsia" w:cs="Times New Roman"/>
                <w:bCs/>
                <w:color w:val="auto"/>
                <w:sz w:val="24"/>
                <w:highlight w:val="none"/>
                <w:lang w:val="en-US" w:eastAsia="zh-CN"/>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3）现有工程突发环境事件应急预案办理情况</w:t>
            </w:r>
          </w:p>
          <w:p>
            <w:pPr>
              <w:pStyle w:val="3"/>
              <w:keepNext w:val="0"/>
              <w:keepLines w:val="0"/>
              <w:pageBreakBefore w:val="0"/>
              <w:numPr>
                <w:ilvl w:val="-1"/>
                <w:numId w:val="0"/>
              </w:numPr>
              <w:kinsoku/>
              <w:wordWrap/>
              <w:overflowPunct/>
              <w:topLinePunct w:val="0"/>
              <w:autoSpaceDE/>
              <w:autoSpaceDN/>
              <w:bidi w:val="0"/>
              <w:spacing w:line="460" w:lineRule="exact"/>
              <w:ind w:left="0" w:right="0" w:firstLine="480" w:firstLineChars="200"/>
              <w:textAlignment w:val="auto"/>
              <w:rPr>
                <w:rFonts w:hint="default"/>
              </w:rPr>
            </w:pPr>
            <w:r>
              <w:rPr>
                <w:rFonts w:hint="default" w:cs="Times New Roman"/>
                <w:bCs/>
                <w:color w:val="auto"/>
                <w:sz w:val="24"/>
                <w:highlight w:val="none"/>
                <w:lang w:val="en-US" w:eastAsia="zh-CN"/>
              </w:rPr>
              <w:t>建设单位的</w:t>
            </w:r>
            <w:r>
              <w:rPr>
                <w:rFonts w:hint="eastAsia" w:cs="Times New Roman"/>
                <w:bCs/>
                <w:color w:val="auto"/>
                <w:sz w:val="24"/>
                <w:highlight w:val="none"/>
                <w:lang w:val="en-US" w:eastAsia="zh-CN"/>
              </w:rPr>
              <w:t>突发环境</w:t>
            </w:r>
            <w:r>
              <w:rPr>
                <w:rFonts w:hint="default" w:cs="Times New Roman"/>
                <w:bCs/>
                <w:color w:val="auto"/>
                <w:sz w:val="24"/>
                <w:highlight w:val="none"/>
                <w:lang w:val="en-US" w:eastAsia="zh-CN"/>
              </w:rPr>
              <w:t>风险</w:t>
            </w:r>
            <w:r>
              <w:rPr>
                <w:rFonts w:hint="eastAsia" w:cs="Times New Roman"/>
                <w:bCs/>
                <w:color w:val="auto"/>
                <w:sz w:val="24"/>
                <w:highlight w:val="none"/>
                <w:lang w:val="en-US" w:eastAsia="zh-CN"/>
              </w:rPr>
              <w:t>等级</w:t>
            </w:r>
            <w:r>
              <w:rPr>
                <w:rFonts w:hint="default" w:cs="Times New Roman"/>
                <w:bCs/>
                <w:color w:val="auto"/>
                <w:sz w:val="24"/>
                <w:highlight w:val="none"/>
                <w:lang w:val="en-US" w:eastAsia="zh-CN"/>
              </w:rPr>
              <w:t>为一般，突发环境事件应急预案已于2021年8月19日通过无锡市新吴区生态环境局备案。</w:t>
            </w:r>
          </w:p>
          <w:p>
            <w:pPr>
              <w:keepNext w:val="0"/>
              <w:keepLines w:val="0"/>
              <w:pageBreakBefore w:val="0"/>
              <w:numPr>
                <w:ilvl w:val="0"/>
                <w:numId w:val="5"/>
              </w:numPr>
              <w:tabs>
                <w:tab w:val="left" w:pos="425"/>
                <w:tab w:val="clear" w:pos="0"/>
              </w:tabs>
              <w:kinsoku/>
              <w:wordWrap/>
              <w:overflowPunct/>
              <w:topLinePunct w:val="0"/>
              <w:autoSpaceDE/>
              <w:autoSpaceDN/>
              <w:bidi w:val="0"/>
              <w:adjustRightInd w:val="0"/>
              <w:snapToGrid w:val="0"/>
              <w:spacing w:line="460" w:lineRule="exac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现有项目生产工艺流程</w:t>
            </w:r>
          </w:p>
          <w:p>
            <w:pPr>
              <w:pStyle w:val="53"/>
              <w:keepNext w:val="0"/>
              <w:keepLines w:val="0"/>
              <w:pageBreakBefore w:val="0"/>
              <w:widowControl w:val="0"/>
              <w:kinsoku/>
              <w:wordWrap/>
              <w:overflowPunct/>
              <w:topLinePunct w:val="0"/>
              <w:autoSpaceDE/>
              <w:autoSpaceDN/>
              <w:bidi w:val="0"/>
              <w:adjustRightInd w:val="0"/>
              <w:snapToGrid w:val="0"/>
              <w:spacing w:line="460" w:lineRule="exact"/>
              <w:ind w:firstLineChars="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建设单位现有项目期数和产品种类较多，</w:t>
            </w:r>
            <w:r>
              <w:rPr>
                <w:rFonts w:hint="default" w:ascii="Times New Roman" w:hAnsi="Times New Roman" w:eastAsia="宋体" w:cs="Times New Roman"/>
                <w:color w:val="auto"/>
                <w:sz w:val="24"/>
                <w:highlight w:val="none"/>
              </w:rPr>
              <w:t>本项目</w:t>
            </w:r>
            <w:r>
              <w:rPr>
                <w:rFonts w:hint="eastAsia" w:ascii="Times New Roman" w:hAnsi="Times New Roman" w:cs="Times New Roman"/>
                <w:color w:val="auto"/>
                <w:sz w:val="24"/>
                <w:highlight w:val="none"/>
                <w:lang w:val="en-US" w:eastAsia="zh-CN"/>
              </w:rPr>
              <w:t>为部分共轨油轨产品的技术改造再加工，因此本报告此处只给出现有共轨油轨的生产工艺，具体如下：</w:t>
            </w:r>
          </w:p>
          <w:p>
            <w:pPr>
              <w:pStyle w:val="53"/>
              <w:keepNext w:val="0"/>
              <w:keepLines w:val="0"/>
              <w:pageBreakBefore w:val="0"/>
              <w:widowControl w:val="0"/>
              <w:kinsoku/>
              <w:wordWrap/>
              <w:overflowPunct/>
              <w:topLinePunct w:val="0"/>
              <w:autoSpaceDE/>
              <w:autoSpaceDN/>
              <w:bidi w:val="0"/>
              <w:adjustRightInd w:val="0"/>
              <w:snapToGrid w:val="0"/>
              <w:spacing w:line="460" w:lineRule="exact"/>
              <w:ind w:firstLineChars="0"/>
              <w:textAlignment w:val="auto"/>
              <w:rPr>
                <w:rFonts w:hint="eastAsia" w:ascii="宋体" w:hAnsi="宋体" w:cs="宋体"/>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（1）共轨油轨生产工艺：</w:t>
            </w:r>
          </w:p>
          <w:p>
            <w:pPr>
              <w:pStyle w:val="53"/>
              <w:widowControl w:val="0"/>
              <w:adjustRightInd w:val="0"/>
              <w:snapToGrid w:val="0"/>
              <w:spacing w:line="240" w:lineRule="auto"/>
              <w:ind w:firstLineChars="0"/>
            </w:pPr>
            <w:r>
              <w:drawing>
                <wp:inline distT="0" distB="0" distL="114300" distR="114300">
                  <wp:extent cx="5270500" cy="7170420"/>
                  <wp:effectExtent l="0" t="0" r="0" b="5080"/>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pic:cNvPicPr>
                        </pic:nvPicPr>
                        <pic:blipFill>
                          <a:blip r:embed="rId23"/>
                          <a:stretch>
                            <a:fillRect/>
                          </a:stretch>
                        </pic:blipFill>
                        <pic:spPr>
                          <a:xfrm>
                            <a:off x="0" y="0"/>
                            <a:ext cx="5270500" cy="7170420"/>
                          </a:xfrm>
                          <a:prstGeom prst="rect">
                            <a:avLst/>
                          </a:prstGeom>
                          <a:noFill/>
                          <a:ln>
                            <a:noFill/>
                          </a:ln>
                        </pic:spPr>
                      </pic:pic>
                    </a:graphicData>
                  </a:graphic>
                </wp:inline>
              </w:drawing>
            </w:r>
          </w:p>
          <w:p>
            <w:pPr>
              <w:pStyle w:val="78"/>
              <w:widowControl w:val="0"/>
              <w:spacing w:after="0" w:line="500" w:lineRule="exact"/>
              <w:ind w:firstLine="0" w:firstLineChars="0"/>
              <w:jc w:val="center"/>
              <w:rPr>
                <w:rFonts w:hint="default" w:ascii="Times New Roman" w:hAnsi="Times New Roman" w:eastAsia="宋体" w:cs="Times New Roman"/>
                <w:b/>
                <w:snapToGrid w:val="0"/>
                <w:color w:val="auto"/>
                <w:sz w:val="24"/>
                <w:szCs w:val="24"/>
                <w:highlight w:val="none"/>
                <w:lang w:val="en-US" w:eastAsia="zh-CN"/>
              </w:rPr>
            </w:pPr>
            <w:r>
              <w:rPr>
                <w:rFonts w:hint="default" w:ascii="Times New Roman" w:hAnsi="Times New Roman" w:eastAsia="宋体" w:cs="Times New Roman"/>
                <w:b/>
                <w:snapToGrid w:val="0"/>
                <w:color w:val="auto"/>
                <w:sz w:val="24"/>
                <w:szCs w:val="24"/>
                <w:highlight w:val="none"/>
              </w:rPr>
              <w:t>图2-</w:t>
            </w:r>
            <w:r>
              <w:rPr>
                <w:rFonts w:hint="eastAsia" w:ascii="Times New Roman" w:hAnsi="Times New Roman" w:eastAsia="宋体" w:cs="Times New Roman"/>
                <w:b/>
                <w:snapToGrid w:val="0"/>
                <w:color w:val="auto"/>
                <w:sz w:val="24"/>
                <w:szCs w:val="24"/>
                <w:highlight w:val="none"/>
                <w:lang w:val="en-US" w:eastAsia="zh-CN"/>
              </w:rPr>
              <w:t xml:space="preserve">8 </w:t>
            </w:r>
            <w:r>
              <w:rPr>
                <w:rFonts w:hint="default" w:ascii="Times New Roman" w:hAnsi="Times New Roman" w:eastAsia="宋体" w:cs="Times New Roman"/>
                <w:b/>
                <w:snapToGrid w:val="0"/>
                <w:color w:val="auto"/>
                <w:sz w:val="24"/>
                <w:szCs w:val="24"/>
                <w:highlight w:val="none"/>
                <w:lang w:val="en-US" w:eastAsia="zh-CN"/>
              </w:rPr>
              <w:t xml:space="preserve"> </w:t>
            </w:r>
            <w:r>
              <w:rPr>
                <w:rFonts w:hint="default" w:ascii="Times New Roman" w:hAnsi="Times New Roman" w:eastAsia="宋体" w:cs="Times New Roman"/>
                <w:b/>
                <w:snapToGrid w:val="0"/>
                <w:color w:val="auto"/>
                <w:sz w:val="24"/>
                <w:szCs w:val="24"/>
                <w:highlight w:val="none"/>
              </w:rPr>
              <w:t xml:space="preserve"> </w:t>
            </w:r>
            <w:r>
              <w:rPr>
                <w:rFonts w:hint="eastAsia" w:ascii="Times New Roman" w:hAnsi="Times New Roman" w:eastAsia="宋体" w:cs="Times New Roman"/>
                <w:b/>
                <w:snapToGrid w:val="0"/>
                <w:color w:val="auto"/>
                <w:sz w:val="24"/>
                <w:szCs w:val="24"/>
                <w:highlight w:val="none"/>
                <w:lang w:val="en-US" w:eastAsia="zh-CN"/>
              </w:rPr>
              <w:t>共轨油轨生产</w:t>
            </w:r>
            <w:r>
              <w:rPr>
                <w:rFonts w:hint="default" w:ascii="Times New Roman" w:hAnsi="Times New Roman" w:eastAsia="宋体" w:cs="Times New Roman"/>
                <w:b/>
                <w:snapToGrid w:val="0"/>
                <w:color w:val="auto"/>
                <w:sz w:val="24"/>
                <w:szCs w:val="24"/>
                <w:highlight w:val="none"/>
                <w:lang w:val="en-US" w:eastAsia="zh-CN"/>
              </w:rPr>
              <w:t>工艺流程图</w:t>
            </w:r>
          </w:p>
          <w:p>
            <w:pPr>
              <w:pStyle w:val="53"/>
              <w:keepNext w:val="0"/>
              <w:keepLines w:val="0"/>
              <w:pageBreakBefore w:val="0"/>
              <w:widowControl w:val="0"/>
              <w:kinsoku/>
              <w:wordWrap/>
              <w:overflowPunct/>
              <w:topLinePunct w:val="0"/>
              <w:autoSpaceDE/>
              <w:autoSpaceDN/>
              <w:bidi w:val="0"/>
              <w:adjustRightInd w:val="0"/>
              <w:snapToGrid w:val="0"/>
              <w:spacing w:line="500" w:lineRule="exact"/>
              <w:ind w:firstLineChars="0"/>
              <w:textAlignment w:val="auto"/>
              <w:rPr>
                <w:rFonts w:hint="eastAsia" w:ascii="宋体" w:hAnsi="宋体" w:cs="宋体"/>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工艺说明：</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磨粒去毛刺：</w:t>
            </w:r>
            <w:r>
              <w:rPr>
                <w:rFonts w:hint="eastAsia" w:ascii="宋体" w:hAnsi="宋体" w:eastAsia="宋体" w:cs="宋体"/>
                <w:color w:val="000000"/>
                <w:kern w:val="0"/>
                <w:sz w:val="24"/>
                <w:szCs w:val="24"/>
                <w:lang w:val="en-US" w:eastAsia="zh-CN" w:bidi="ar"/>
              </w:rPr>
              <w:t>首先将轨体放入夹具，锁紧。由液压缸带动压头，将设备工作腔</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pPr>
            <w:r>
              <w:rPr>
                <w:rFonts w:hint="eastAsia" w:ascii="宋体" w:hAnsi="宋体" w:eastAsia="宋体" w:cs="宋体"/>
                <w:color w:val="000000"/>
                <w:kern w:val="0"/>
                <w:sz w:val="24"/>
                <w:szCs w:val="24"/>
                <w:lang w:val="en-US" w:eastAsia="zh-CN" w:bidi="ar"/>
              </w:rPr>
              <w:t>的磨料从轨体侧面孔压入轨体，磨料从轨体高压孔内流出，在往外流的过程，对轨体内壁及交叉处进行毛刺去除。去毛刺后将轨体放入吹气设备，盖上防护盖，手（带手套）持轨体放入吹气装置，去除轨体内壁和表面的磨料，磨料收集后重复使用，定期更换，此过程有废磨料（含油）产生。</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pPr>
            <w:r>
              <w:rPr>
                <w:rFonts w:hint="eastAsia" w:ascii="宋体" w:hAnsi="宋体" w:eastAsia="宋体" w:cs="宋体"/>
                <w:b/>
                <w:bCs/>
                <w:color w:val="000000"/>
                <w:kern w:val="0"/>
                <w:sz w:val="24"/>
                <w:szCs w:val="24"/>
                <w:lang w:val="en-US" w:eastAsia="zh-CN" w:bidi="ar"/>
              </w:rPr>
              <w:t>碳氢清洗：</w:t>
            </w:r>
            <w:r>
              <w:rPr>
                <w:rFonts w:hint="eastAsia" w:ascii="宋体" w:hAnsi="宋体" w:eastAsia="宋体" w:cs="宋体"/>
                <w:color w:val="000000"/>
                <w:kern w:val="0"/>
                <w:sz w:val="24"/>
                <w:szCs w:val="24"/>
                <w:lang w:val="en-US" w:eastAsia="zh-CN" w:bidi="ar"/>
              </w:rPr>
              <w:t>轨体进入清洗机后，使用碳氢清洗剂（石脑油）自动清洗，经</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次清洗和</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次蒸汽清洗后，直接在清洗机中进行电加热烘干。此过程残留在工件上的碳氢清洗剂挥发，有少量非甲烷总烃产生。碳氢清洗剂循环使用，定期更换，有废油产生。</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pPr>
            <w:r>
              <w:rPr>
                <w:rFonts w:hint="eastAsia" w:ascii="宋体" w:hAnsi="宋体" w:eastAsia="宋体" w:cs="宋体"/>
                <w:b/>
                <w:bCs/>
                <w:color w:val="000000"/>
                <w:kern w:val="0"/>
                <w:sz w:val="24"/>
                <w:szCs w:val="24"/>
                <w:lang w:val="en-US" w:eastAsia="zh-CN" w:bidi="ar"/>
              </w:rPr>
              <w:t>内窥镜检查：</w:t>
            </w:r>
            <w:r>
              <w:rPr>
                <w:rFonts w:hint="eastAsia" w:ascii="宋体" w:hAnsi="宋体" w:eastAsia="宋体" w:cs="宋体"/>
                <w:color w:val="000000"/>
                <w:kern w:val="0"/>
                <w:sz w:val="24"/>
                <w:szCs w:val="24"/>
                <w:lang w:val="en-US" w:eastAsia="zh-CN" w:bidi="ar"/>
              </w:rPr>
              <w:t>检查原材料高压孔与轨体内壁交界处是否有倒角。将内窥镜杆子伸入轨体内壁，检查。此过程有不合格品退回给供应商。</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pPr>
            <w:r>
              <w:rPr>
                <w:rFonts w:hint="eastAsia" w:ascii="宋体" w:hAnsi="宋体" w:eastAsia="宋体" w:cs="宋体"/>
                <w:b/>
                <w:bCs/>
                <w:color w:val="000000"/>
                <w:kern w:val="0"/>
                <w:sz w:val="24"/>
                <w:szCs w:val="24"/>
                <w:lang w:val="en-US" w:eastAsia="zh-CN" w:bidi="ar"/>
              </w:rPr>
              <w:t>装配：</w:t>
            </w:r>
            <w:r>
              <w:rPr>
                <w:rFonts w:hint="eastAsia" w:ascii="宋体" w:hAnsi="宋体" w:eastAsia="宋体" w:cs="宋体"/>
                <w:color w:val="000000"/>
                <w:kern w:val="0"/>
                <w:sz w:val="24"/>
                <w:szCs w:val="24"/>
                <w:lang w:val="en-US" w:eastAsia="zh-CN" w:bidi="ar"/>
              </w:rPr>
              <w:t>首先在内窥镜检查后的轨体里面加润滑油，润滑后的轨体放入夹具中，由液压机将节流阀压入轨体高压孔内，以减少压入过程中较大的摩擦力。多余的润滑油由油瓶收集，定期清理废油，此过程有废油产生。</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pPr>
            <w:r>
              <w:rPr>
                <w:rFonts w:hint="eastAsia" w:ascii="宋体" w:hAnsi="宋体" w:eastAsia="宋体" w:cs="宋体"/>
                <w:b/>
                <w:bCs/>
                <w:color w:val="000000"/>
                <w:kern w:val="0"/>
                <w:sz w:val="24"/>
                <w:szCs w:val="24"/>
                <w:lang w:val="en-US" w:eastAsia="zh-CN" w:bidi="ar"/>
              </w:rPr>
              <w:t>水基清洗：</w:t>
            </w:r>
            <w:r>
              <w:rPr>
                <w:rFonts w:hint="eastAsia" w:ascii="宋体" w:hAnsi="宋体" w:eastAsia="宋体" w:cs="宋体"/>
                <w:color w:val="000000"/>
                <w:kern w:val="0"/>
                <w:sz w:val="24"/>
                <w:szCs w:val="24"/>
                <w:lang w:val="en-US" w:eastAsia="zh-CN" w:bidi="ar"/>
              </w:rPr>
              <w:t>由于原材料表面带有油污，影响后续装配，需在装配前清洗轨体。工件采用</w:t>
            </w:r>
            <w:r>
              <w:rPr>
                <w:rFonts w:hint="default" w:ascii="Times New Roman" w:hAnsi="Times New Roman" w:eastAsia="宋体" w:cs="Times New Roman"/>
                <w:color w:val="000000"/>
                <w:kern w:val="0"/>
                <w:sz w:val="24"/>
                <w:szCs w:val="24"/>
                <w:lang w:val="en-US" w:eastAsia="zh-CN" w:bidi="ar"/>
              </w:rPr>
              <w:t>5088</w:t>
            </w:r>
            <w:r>
              <w:rPr>
                <w:rFonts w:hint="eastAsia" w:ascii="宋体" w:hAnsi="宋体" w:eastAsia="宋体" w:cs="宋体"/>
                <w:color w:val="000000"/>
                <w:kern w:val="0"/>
                <w:sz w:val="24"/>
                <w:szCs w:val="24"/>
                <w:lang w:val="en-US" w:eastAsia="zh-CN" w:bidi="ar"/>
              </w:rPr>
              <w:t>清洗剂和水按一定比例配比，在清洗机中经</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道清洗和</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道风切后进入烘干槽，烘干采用电加热。在此过程中，清洗剂挥发有少量非甲烷总烃产生，废气首先通过冷凝回收装置将大部分水汽回流到清洗槽体，残余尾气通过管道排放。此过程有少量非甲烷总烃产生。</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pPr>
            <w:r>
              <w:rPr>
                <w:rFonts w:hint="eastAsia" w:ascii="宋体" w:hAnsi="宋体" w:eastAsia="宋体" w:cs="宋体"/>
                <w:b/>
                <w:bCs/>
                <w:color w:val="000000"/>
                <w:kern w:val="0"/>
                <w:sz w:val="24"/>
                <w:szCs w:val="24"/>
                <w:lang w:val="en-US" w:eastAsia="zh-CN" w:bidi="ar"/>
              </w:rPr>
              <w:t>检查：</w:t>
            </w:r>
            <w:r>
              <w:rPr>
                <w:rFonts w:hint="eastAsia" w:ascii="宋体" w:hAnsi="宋体" w:eastAsia="宋体" w:cs="宋体"/>
                <w:color w:val="000000"/>
                <w:kern w:val="0"/>
                <w:sz w:val="24"/>
                <w:szCs w:val="24"/>
                <w:lang w:val="en-US" w:eastAsia="zh-CN" w:bidi="ar"/>
              </w:rPr>
              <w:t xml:space="preserve">通过标签机给轨体贴上标签，并利用相机检查轨体两端的密封面是否有划痕。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pPr>
            <w:r>
              <w:rPr>
                <w:rFonts w:hint="eastAsia" w:ascii="宋体" w:hAnsi="宋体" w:eastAsia="宋体" w:cs="宋体"/>
                <w:b/>
                <w:bCs/>
                <w:color w:val="000000"/>
                <w:kern w:val="0"/>
                <w:sz w:val="24"/>
                <w:szCs w:val="24"/>
                <w:lang w:val="en-US" w:eastAsia="zh-CN" w:bidi="ar"/>
              </w:rPr>
              <w:t>高压测试：</w:t>
            </w:r>
            <w:r>
              <w:rPr>
                <w:rFonts w:hint="eastAsia" w:ascii="宋体" w:hAnsi="宋体" w:eastAsia="宋体" w:cs="宋体"/>
                <w:color w:val="000000"/>
                <w:kern w:val="0"/>
                <w:sz w:val="24"/>
                <w:szCs w:val="24"/>
                <w:lang w:val="en-US" w:eastAsia="zh-CN" w:bidi="ar"/>
              </w:rPr>
              <w:t>在高压测试前，首先将零部件按照图纸要求旋到轨体的两端面并旋紧。利用气动螺丝枪将堵头旋到轨体上，将高压孔堵住，只留进油孔和出油孔，为后续的高压测试做准备。测试油从轨体进油孔进出油孔出，测试产品的高压泄漏等功能，此过程部分测试油被产品带走，其余测试油可循环使用。测试油定期更换，有废油产生。测试结束后，利用气动螺丝枪将旋到轨体上的堵头拆下来，用于下批产品，堵头重复利用。</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pPr>
            <w:r>
              <w:rPr>
                <w:rFonts w:hint="eastAsia" w:ascii="宋体" w:hAnsi="宋体" w:eastAsia="宋体" w:cs="宋体"/>
                <w:b/>
                <w:bCs/>
                <w:color w:val="000000"/>
                <w:kern w:val="0"/>
                <w:sz w:val="24"/>
                <w:szCs w:val="24"/>
                <w:lang w:val="en-US" w:eastAsia="zh-CN" w:bidi="ar"/>
              </w:rPr>
              <w:t>清洁度检测：</w:t>
            </w:r>
            <w:r>
              <w:rPr>
                <w:rFonts w:hint="eastAsia" w:ascii="宋体" w:hAnsi="宋体" w:eastAsia="宋体" w:cs="宋体"/>
                <w:color w:val="000000"/>
                <w:kern w:val="0"/>
                <w:sz w:val="24"/>
                <w:szCs w:val="24"/>
                <w:lang w:val="en-US" w:eastAsia="zh-CN" w:bidi="ar"/>
              </w:rPr>
              <w:t>每天对抽取一个产品进行清洁度检测，检测冲洗产品后的清洗废水水质中悬浮物含量，以此查看产品的清洁度。首先将清洗剂</w:t>
            </w:r>
            <w:r>
              <w:rPr>
                <w:rFonts w:hint="default" w:ascii="Times New Roman" w:hAnsi="Times New Roman" w:eastAsia="宋体" w:cs="Times New Roman"/>
                <w:color w:val="000000"/>
                <w:kern w:val="0"/>
                <w:sz w:val="24"/>
                <w:szCs w:val="24"/>
                <w:lang w:val="en-US" w:eastAsia="zh-CN" w:bidi="ar"/>
              </w:rPr>
              <w:t>084</w:t>
            </w:r>
            <w:r>
              <w:rPr>
                <w:rFonts w:hint="eastAsia" w:ascii="宋体" w:hAnsi="宋体" w:eastAsia="宋体" w:cs="宋体"/>
                <w:color w:val="000000"/>
                <w:kern w:val="0"/>
                <w:sz w:val="24"/>
                <w:szCs w:val="24"/>
                <w:lang w:val="en-US" w:eastAsia="zh-CN" w:bidi="ar"/>
              </w:rPr>
              <w:t>和纯水按一定比例配成冲洗液，将轨体装夹至夹具上，将储液罐内的冲洗液抽入管路，对轨体进行冲洗，冲洗后冲洗液返回储液罐。取出冲洗后管路内的检测滤纸，放烘箱烘干。使用相机对滤纸上的颗粒按标准分析，结果自动输出。此过程有清洗废水产生。</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目检、包装：</w:t>
            </w:r>
            <w:r>
              <w:rPr>
                <w:rFonts w:hint="eastAsia" w:ascii="宋体" w:hAnsi="宋体" w:eastAsia="宋体" w:cs="宋体"/>
                <w:color w:val="000000"/>
                <w:kern w:val="0"/>
                <w:sz w:val="24"/>
                <w:szCs w:val="24"/>
                <w:lang w:val="en-US" w:eastAsia="zh-CN" w:bidi="ar"/>
              </w:rPr>
              <w:t>人工检查产品表面是否有损伤，检验合格后进行包装。为防止产品在运输过程中损伤，首先在高压接头上安装护帽，然后用</w:t>
            </w:r>
            <w:r>
              <w:rPr>
                <w:rFonts w:hint="default" w:ascii="Times New Roman" w:hAnsi="Times New Roman" w:eastAsia="宋体" w:cs="Times New Roman"/>
                <w:color w:val="000000"/>
                <w:kern w:val="0"/>
                <w:sz w:val="24"/>
                <w:szCs w:val="24"/>
                <w:lang w:val="en-US" w:eastAsia="zh-CN" w:bidi="ar"/>
              </w:rPr>
              <w:t>VCI</w:t>
            </w:r>
            <w:r>
              <w:rPr>
                <w:rFonts w:hint="eastAsia" w:ascii="宋体" w:hAnsi="宋体" w:eastAsia="宋体" w:cs="宋体"/>
                <w:color w:val="000000"/>
                <w:kern w:val="0"/>
                <w:sz w:val="24"/>
                <w:szCs w:val="24"/>
                <w:lang w:val="en-US" w:eastAsia="zh-CN" w:bidi="ar"/>
              </w:rPr>
              <w:t>塑料袋包装好，利用塑封机将塑料袋密封。最后将塑封好的产品放在纸板箱中，打包运到仓库。</w:t>
            </w:r>
          </w:p>
          <w:p>
            <w:pPr>
              <w:pStyle w:val="2"/>
              <w:spacing w:before="0" w:after="0" w:line="500" w:lineRule="exact"/>
              <w:ind w:right="0" w:firstLine="482" w:firstLineChars="200"/>
              <w:rPr>
                <w:rFonts w:hint="default"/>
                <w:b w:val="0"/>
                <w:bCs w:val="0"/>
                <w:sz w:val="24"/>
                <w:szCs w:val="24"/>
                <w:lang w:val="en-US" w:eastAsia="zh-CN"/>
              </w:rPr>
            </w:pPr>
            <w:r>
              <w:rPr>
                <w:rFonts w:hint="eastAsia" w:ascii="宋体" w:hAnsi="宋体" w:eastAsia="宋体" w:cs="宋体"/>
                <w:b/>
                <w:bCs/>
                <w:sz w:val="24"/>
                <w:szCs w:val="24"/>
                <w:lang w:val="en-US" w:eastAsia="zh-CN"/>
              </w:rPr>
              <w:t>※</w:t>
            </w:r>
            <w:r>
              <w:rPr>
                <w:rFonts w:hint="eastAsia" w:ascii="宋体" w:hAnsi="宋体" w:cs="宋体"/>
                <w:b/>
                <w:bCs/>
                <w:color w:val="000000"/>
                <w:kern w:val="0"/>
                <w:sz w:val="24"/>
                <w:szCs w:val="24"/>
                <w:lang w:val="en-US" w:eastAsia="zh-CN" w:bidi="ar"/>
              </w:rPr>
              <w:t>说明：</w:t>
            </w:r>
            <w:r>
              <w:rPr>
                <w:rFonts w:hint="eastAsia" w:ascii="宋体" w:hAnsi="宋体" w:cs="宋体"/>
                <w:b w:val="0"/>
                <w:bCs w:val="0"/>
                <w:color w:val="000000"/>
                <w:kern w:val="0"/>
                <w:sz w:val="24"/>
                <w:szCs w:val="24"/>
                <w:lang w:val="en-US" w:eastAsia="zh-CN" w:bidi="ar"/>
              </w:rPr>
              <w:t>本项目“强化轨体”为上述工艺产品“共轨油轨”的进一步加工。强化轨体的主要原料即为上述共轨油轨的最终产品“共轨油轨”。</w:t>
            </w:r>
          </w:p>
          <w:p>
            <w:pPr>
              <w:numPr>
                <w:ilvl w:val="0"/>
                <w:numId w:val="5"/>
              </w:numPr>
              <w:tabs>
                <w:tab w:val="left" w:pos="425"/>
                <w:tab w:val="clear" w:pos="0"/>
              </w:tabs>
              <w:snapToGrid w:val="0"/>
              <w:spacing w:line="500" w:lineRule="exact"/>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bCs/>
                <w:color w:val="auto"/>
                <w:sz w:val="24"/>
                <w:highlight w:val="none"/>
              </w:rPr>
              <w:t>现有项目水（汽）平衡（单位：吨/年）</w:t>
            </w:r>
          </w:p>
          <w:p>
            <w:pPr>
              <w:adjustRightInd w:val="0"/>
              <w:snapToGrid w:val="0"/>
              <w:spacing w:line="50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 xml:space="preserve"> 现有项目水平衡详见下图：</w:t>
            </w:r>
          </w:p>
          <w:p>
            <w:pPr>
              <w:adjustRightInd w:val="0"/>
              <w:snapToGrid w:val="0"/>
              <w:spacing w:line="500" w:lineRule="exact"/>
              <w:ind w:firstLine="480" w:firstLineChars="200"/>
              <w:rPr>
                <w:rFonts w:hint="default" w:ascii="Times New Roman" w:hAnsi="Times New Roman" w:eastAsia="宋体" w:cs="Times New Roman"/>
                <w:snapToGrid w:val="0"/>
                <w:color w:val="auto"/>
                <w:kern w:val="0"/>
                <w:sz w:val="24"/>
                <w:highlight w:val="none"/>
              </w:rPr>
            </w:pPr>
          </w:p>
          <w:p>
            <w:pPr>
              <w:adjustRightInd w:val="0"/>
              <w:snapToGrid w:val="0"/>
              <w:spacing w:line="500" w:lineRule="exact"/>
              <w:ind w:firstLine="480" w:firstLineChars="200"/>
              <w:rPr>
                <w:rFonts w:hint="default" w:ascii="Times New Roman" w:hAnsi="Times New Roman" w:eastAsia="宋体" w:cs="Times New Roman"/>
                <w:snapToGrid w:val="0"/>
                <w:color w:val="auto"/>
                <w:kern w:val="0"/>
                <w:sz w:val="24"/>
                <w:highlight w:val="none"/>
              </w:rPr>
            </w:pPr>
          </w:p>
          <w:p>
            <w:pPr>
              <w:adjustRightInd w:val="0"/>
              <w:snapToGrid w:val="0"/>
              <w:spacing w:line="500" w:lineRule="exact"/>
              <w:ind w:firstLine="480" w:firstLineChars="200"/>
              <w:rPr>
                <w:rFonts w:hint="default" w:ascii="Times New Roman" w:hAnsi="Times New Roman" w:eastAsia="宋体" w:cs="Times New Roman"/>
                <w:snapToGrid w:val="0"/>
                <w:color w:val="auto"/>
                <w:kern w:val="0"/>
                <w:sz w:val="24"/>
                <w:highlight w:val="none"/>
              </w:rPr>
            </w:pPr>
          </w:p>
          <w:p>
            <w:pPr>
              <w:adjustRightInd w:val="0"/>
              <w:snapToGrid w:val="0"/>
              <w:spacing w:line="500" w:lineRule="exact"/>
              <w:ind w:firstLine="480" w:firstLineChars="200"/>
              <w:rPr>
                <w:rFonts w:hint="default" w:ascii="Times New Roman" w:hAnsi="Times New Roman" w:eastAsia="宋体" w:cs="Times New Roman"/>
                <w:snapToGrid w:val="0"/>
                <w:color w:val="auto"/>
                <w:kern w:val="0"/>
                <w:sz w:val="24"/>
                <w:highlight w:val="none"/>
              </w:rPr>
            </w:pPr>
          </w:p>
          <w:p>
            <w:pPr>
              <w:adjustRightInd w:val="0"/>
              <w:snapToGrid w:val="0"/>
              <w:spacing w:line="500" w:lineRule="exact"/>
              <w:ind w:firstLine="480" w:firstLineChars="200"/>
              <w:rPr>
                <w:rFonts w:hint="default" w:ascii="Times New Roman" w:hAnsi="Times New Roman" w:eastAsia="宋体" w:cs="Times New Roman"/>
                <w:snapToGrid w:val="0"/>
                <w:color w:val="auto"/>
                <w:kern w:val="0"/>
                <w:sz w:val="24"/>
                <w:highlight w:val="none"/>
              </w:rPr>
            </w:pPr>
          </w:p>
          <w:p>
            <w:pPr>
              <w:adjustRightInd w:val="0"/>
              <w:snapToGrid w:val="0"/>
              <w:spacing w:line="500" w:lineRule="exact"/>
              <w:ind w:firstLine="480" w:firstLineChars="200"/>
              <w:rPr>
                <w:rFonts w:hint="default" w:ascii="Times New Roman" w:hAnsi="Times New Roman" w:eastAsia="宋体" w:cs="Times New Roman"/>
                <w:snapToGrid w:val="0"/>
                <w:color w:val="auto"/>
                <w:kern w:val="0"/>
                <w:sz w:val="24"/>
                <w:highlight w:val="none"/>
              </w:rPr>
            </w:pPr>
          </w:p>
          <w:p>
            <w:pPr>
              <w:adjustRightInd w:val="0"/>
              <w:snapToGrid w:val="0"/>
              <w:spacing w:line="500" w:lineRule="exact"/>
              <w:ind w:firstLine="480" w:firstLineChars="200"/>
              <w:rPr>
                <w:rFonts w:hint="default" w:ascii="Times New Roman" w:hAnsi="Times New Roman" w:eastAsia="宋体" w:cs="Times New Roman"/>
                <w:snapToGrid w:val="0"/>
                <w:color w:val="auto"/>
                <w:kern w:val="0"/>
                <w:sz w:val="24"/>
                <w:highlight w:val="none"/>
              </w:rPr>
            </w:pPr>
          </w:p>
          <w:p>
            <w:pPr>
              <w:adjustRightInd w:val="0"/>
              <w:snapToGrid w:val="0"/>
              <w:spacing w:line="500" w:lineRule="exact"/>
              <w:ind w:firstLine="480" w:firstLineChars="200"/>
              <w:rPr>
                <w:rFonts w:hint="default" w:ascii="Times New Roman" w:hAnsi="Times New Roman" w:eastAsia="宋体" w:cs="Times New Roman"/>
                <w:snapToGrid w:val="0"/>
                <w:color w:val="auto"/>
                <w:kern w:val="0"/>
                <w:sz w:val="24"/>
                <w:highlight w:val="none"/>
              </w:rPr>
            </w:pPr>
          </w:p>
          <w:p>
            <w:pPr>
              <w:adjustRightInd w:val="0"/>
              <w:snapToGrid w:val="0"/>
              <w:spacing w:line="500" w:lineRule="exact"/>
              <w:ind w:firstLine="420" w:firstLineChars="200"/>
              <w:rPr>
                <w:rFonts w:hint="default" w:ascii="Times New Roman" w:hAnsi="Times New Roman" w:eastAsia="宋体" w:cs="Times New Roman"/>
                <w:bCs/>
                <w:color w:val="auto"/>
                <w:szCs w:val="21"/>
                <w:highlight w:val="none"/>
              </w:rPr>
            </w:pPr>
          </w:p>
        </w:tc>
      </w:tr>
    </w:tbl>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rPr>
        <w:sectPr>
          <w:footerReference r:id="rId9" w:type="default"/>
          <w:pgSz w:w="11907" w:h="16840"/>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3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2" w:hRule="atLeast"/>
        </w:trPr>
        <w:tc>
          <w:tcPr>
            <w:tcW w:w="392" w:type="dxa"/>
            <w:noWrap w:val="0"/>
            <w:vAlign w:val="top"/>
          </w:tcPr>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Cs w:val="30"/>
                <w:highlight w:val="none"/>
              </w:rPr>
            </w:pPr>
            <w:r>
              <w:rPr>
                <w:rFonts w:hint="default" w:ascii="Times New Roman" w:hAnsi="Times New Roman" w:eastAsia="宋体" w:cs="Times New Roman"/>
                <w:snapToGrid w:val="0"/>
                <w:color w:val="auto"/>
                <w:szCs w:val="30"/>
                <w:highlight w:val="none"/>
              </w:rPr>
              <w:t>与本项目相关的原项目污染情况</w:t>
            </w:r>
          </w:p>
        </w:tc>
        <w:tc>
          <w:tcPr>
            <w:tcW w:w="13827" w:type="dxa"/>
            <w:noWrap w:val="0"/>
            <w:vAlign w:val="top"/>
          </w:tcPr>
          <w:p>
            <w:pPr>
              <w:pStyle w:val="50"/>
              <w:widowControl w:val="0"/>
              <w:spacing w:after="0" w:line="240" w:lineRule="auto"/>
              <w:ind w:left="0" w:leftChars="0" w:firstLine="0" w:firstLineChars="0"/>
              <w:jc w:val="center"/>
              <w:rPr>
                <w:rFonts w:hint="default" w:ascii="Times New Roman" w:hAnsi="Times New Roman" w:eastAsia="宋体" w:cs="Times New Roman"/>
                <w:b/>
                <w:snapToGrid w:val="0"/>
                <w:color w:val="auto"/>
                <w:sz w:val="21"/>
                <w:szCs w:val="24"/>
                <w:highlight w:val="none"/>
              </w:rPr>
            </w:pPr>
            <w:r>
              <w:rPr>
                <w:rFonts w:hint="default" w:ascii="Times New Roman" w:hAnsi="Times New Roman" w:eastAsia="宋体" w:cs="Times New Roman"/>
                <w:b/>
                <w:snapToGrid w:val="0"/>
                <w:color w:val="auto"/>
                <w:sz w:val="21"/>
                <w:szCs w:val="24"/>
                <w:highlight w:val="none"/>
              </w:rPr>
              <w:object>
                <v:shape id="_x0000_i1029" o:spt="75" type="#_x0000_t75" style="height:737.95pt;width:708pt;" o:ole="t" filled="f" o:preferrelative="t" stroked="f" coordsize="21600,21600">
                  <v:path/>
                  <v:fill on="f" focussize="0,0"/>
                  <v:stroke on="f"/>
                  <v:imagedata r:id="rId25" o:title=""/>
                  <o:lock v:ext="edit" aspectratio="f"/>
                  <w10:wrap type="none"/>
                  <w10:anchorlock/>
                </v:shape>
                <o:OLEObject Type="Embed" ProgID="Visio.Drawing.15" ShapeID="_x0000_i1029" DrawAspect="Content" ObjectID="_1468075729" r:id="rId24">
                  <o:LockedField>false</o:LockedField>
                </o:OLEObject>
              </w:object>
            </w:r>
          </w:p>
          <w:p>
            <w:pPr>
              <w:pStyle w:val="18"/>
              <w:adjustRightInd w:val="0"/>
              <w:snapToGrid w:val="0"/>
              <w:spacing w:before="0" w:beforeAutospacing="0" w:after="0" w:afterAutospacing="0" w:line="500" w:lineRule="exact"/>
              <w:ind w:firstLine="4337" w:firstLineChars="1800"/>
              <w:outlineLvl w:val="0"/>
              <w:rPr>
                <w:rFonts w:hint="default" w:ascii="Times New Roman" w:hAnsi="Times New Roman" w:eastAsia="宋体" w:cs="Times New Roman"/>
                <w:b/>
                <w:snapToGrid w:val="0"/>
                <w:color w:val="auto"/>
                <w:highlight w:val="none"/>
              </w:rPr>
            </w:pPr>
            <w:r>
              <w:rPr>
                <w:rFonts w:hint="default" w:ascii="Times New Roman" w:hAnsi="Times New Roman" w:eastAsia="宋体" w:cs="Times New Roman"/>
                <w:b/>
                <w:snapToGrid w:val="0"/>
                <w:color w:val="auto"/>
                <w:szCs w:val="24"/>
                <w:highlight w:val="none"/>
              </w:rPr>
              <w:t>图2-</w:t>
            </w:r>
            <w:r>
              <w:rPr>
                <w:rFonts w:hint="eastAsia" w:ascii="Times New Roman" w:hAnsi="Times New Roman" w:cs="Times New Roman"/>
                <w:b/>
                <w:snapToGrid w:val="0"/>
                <w:color w:val="auto"/>
                <w:szCs w:val="24"/>
                <w:highlight w:val="none"/>
                <w:lang w:val="en-US" w:eastAsia="zh-CN"/>
              </w:rPr>
              <w:t>9</w:t>
            </w:r>
            <w:r>
              <w:rPr>
                <w:rFonts w:hint="default" w:ascii="Times New Roman" w:hAnsi="Times New Roman" w:eastAsia="宋体" w:cs="Times New Roman"/>
                <w:b/>
                <w:snapToGrid w:val="0"/>
                <w:color w:val="auto"/>
                <w:szCs w:val="24"/>
                <w:highlight w:val="none"/>
              </w:rPr>
              <w:t xml:space="preserve">   现有项目</w:t>
            </w:r>
            <w:r>
              <w:rPr>
                <w:rFonts w:hint="eastAsia" w:ascii="Times New Roman" w:hAnsi="Times New Roman" w:cs="Times New Roman"/>
                <w:b/>
                <w:snapToGrid w:val="0"/>
                <w:color w:val="auto"/>
                <w:szCs w:val="24"/>
                <w:highlight w:val="none"/>
                <w:lang w:eastAsia="zh-CN"/>
              </w:rPr>
              <w:t>（</w:t>
            </w:r>
            <w:r>
              <w:rPr>
                <w:rFonts w:hint="eastAsia" w:ascii="Times New Roman" w:hAnsi="Times New Roman" w:cs="Times New Roman"/>
                <w:b/>
                <w:snapToGrid w:val="0"/>
                <w:color w:val="auto"/>
                <w:szCs w:val="24"/>
                <w:highlight w:val="none"/>
                <w:lang w:val="en-US" w:eastAsia="zh-CN"/>
              </w:rPr>
              <w:t>新华路厂区）</w:t>
            </w:r>
            <w:r>
              <w:rPr>
                <w:rFonts w:hint="default" w:ascii="Times New Roman" w:hAnsi="Times New Roman" w:eastAsia="宋体" w:cs="Times New Roman"/>
                <w:b/>
                <w:snapToGrid w:val="0"/>
                <w:color w:val="auto"/>
                <w:highlight w:val="none"/>
              </w:rPr>
              <w:t>水（汽）平衡图  （t/a）</w:t>
            </w:r>
          </w:p>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Cs w:val="30"/>
                <w:highlight w:val="none"/>
              </w:rPr>
            </w:pPr>
          </w:p>
        </w:tc>
      </w:tr>
    </w:tbl>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rPr>
        <w:sectPr>
          <w:pgSz w:w="16839" w:h="23814"/>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8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89" w:hRule="atLeast"/>
        </w:trPr>
        <w:tc>
          <w:tcPr>
            <w:tcW w:w="392" w:type="dxa"/>
            <w:noWrap w:val="0"/>
            <w:vAlign w:val="top"/>
          </w:tcPr>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Cs w:val="30"/>
                <w:highlight w:val="none"/>
              </w:rPr>
            </w:pPr>
          </w:p>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Cs w:val="30"/>
                <w:highlight w:val="none"/>
              </w:rPr>
            </w:pPr>
          </w:p>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Cs w:val="30"/>
                <w:highlight w:val="none"/>
              </w:rPr>
            </w:pPr>
          </w:p>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Cs w:val="30"/>
                <w:highlight w:val="none"/>
              </w:rPr>
            </w:pPr>
          </w:p>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Cs w:val="30"/>
                <w:highlight w:val="none"/>
              </w:rPr>
            </w:pPr>
          </w:p>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Cs w:val="30"/>
                <w:highlight w:val="none"/>
              </w:rPr>
            </w:pPr>
            <w:r>
              <w:rPr>
                <w:rFonts w:hint="default" w:ascii="Times New Roman" w:hAnsi="Times New Roman" w:eastAsia="宋体" w:cs="Times New Roman"/>
                <w:snapToGrid w:val="0"/>
                <w:color w:val="auto"/>
                <w:szCs w:val="30"/>
                <w:highlight w:val="none"/>
              </w:rPr>
              <w:t>与本项目相关的原项目污染情况</w:t>
            </w:r>
          </w:p>
        </w:tc>
        <w:tc>
          <w:tcPr>
            <w:tcW w:w="8895" w:type="dxa"/>
            <w:noWrap w:val="0"/>
            <w:vAlign w:val="top"/>
          </w:tcPr>
          <w:p>
            <w:pPr>
              <w:numPr>
                <w:ilvl w:val="0"/>
                <w:numId w:val="5"/>
              </w:numPr>
              <w:tabs>
                <w:tab w:val="left" w:pos="425"/>
                <w:tab w:val="clear" w:pos="0"/>
              </w:tabs>
              <w:adjustRightInd w:val="0"/>
              <w:snapToGrid w:val="0"/>
              <w:spacing w:line="500" w:lineRule="exac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现有项目污染物产生及治理情况</w:t>
            </w:r>
          </w:p>
          <w:p>
            <w:pPr>
              <w:adjustRightInd w:val="0"/>
              <w:snapToGrid w:val="0"/>
              <w:spacing w:line="500" w:lineRule="exact"/>
              <w:ind w:firstLine="480"/>
              <w:rPr>
                <w:rFonts w:hint="default" w:ascii="Times New Roman" w:hAnsi="Times New Roman" w:eastAsia="宋体" w:cs="Times New Roman"/>
                <w:b w:val="0"/>
                <w:bCs w:val="0"/>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highlight w:val="none"/>
              </w:rPr>
              <w:t>根据现有各期项目“三同时”验收报告、环评报告，现有项目污染物产生及治理情况如下。</w:t>
            </w:r>
          </w:p>
          <w:p>
            <w:pPr>
              <w:pStyle w:val="19"/>
              <w:rPr>
                <w:rFonts w:hint="default" w:ascii="Times New Roman" w:hAnsi="Times New Roman" w:eastAsia="宋体" w:cs="Times New Roman"/>
                <w:b w:val="0"/>
                <w:bCs w:val="0"/>
                <w:snapToGrid w:val="0"/>
                <w:color w:val="auto"/>
                <w:kern w:val="0"/>
                <w:sz w:val="24"/>
                <w:szCs w:val="24"/>
                <w:highlight w:val="none"/>
                <w:lang w:val="en-US" w:eastAsia="zh-CN" w:bidi="ar-SA"/>
              </w:rPr>
            </w:pPr>
            <w:r>
              <w:rPr>
                <w:rFonts w:hint="default" w:ascii="Times New Roman" w:hAnsi="Times New Roman" w:eastAsia="宋体" w:cs="Times New Roman"/>
                <w:b w:val="0"/>
                <w:bCs w:val="0"/>
                <w:snapToGrid w:val="0"/>
                <w:color w:val="auto"/>
                <w:kern w:val="0"/>
                <w:sz w:val="24"/>
                <w:szCs w:val="24"/>
                <w:highlight w:val="none"/>
                <w:lang w:val="en-US" w:eastAsia="zh-CN" w:bidi="ar-SA"/>
              </w:rPr>
              <w:t xml:space="preserve">    由于本项目仅涉及到新华路厂区内变动，不涉及里河路厂区，因此以下仅列出新华路厂区的现有项目污染物产生及治理情况。</w:t>
            </w:r>
          </w:p>
          <w:p>
            <w:pPr>
              <w:pStyle w:val="53"/>
              <w:widowControl w:val="0"/>
              <w:numPr>
                <w:ilvl w:val="0"/>
                <w:numId w:val="6"/>
              </w:numPr>
              <w:adjustRightInd w:val="0"/>
              <w:snapToGrid w:val="0"/>
              <w:ind w:firstLineChars="0"/>
              <w:jc w:val="both"/>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废气</w:t>
            </w:r>
          </w:p>
          <w:p>
            <w:pPr>
              <w:adjustRightInd w:val="0"/>
              <w:snapToGrid w:val="0"/>
              <w:spacing w:line="500" w:lineRule="exact"/>
              <w:ind w:firstLine="480" w:firstLineChars="200"/>
              <w:outlineLvl w:val="0"/>
              <w:rPr>
                <w:rFonts w:hint="eastAsia" w:cs="Times New Roman"/>
                <w:color w:val="auto"/>
                <w:sz w:val="24"/>
                <w:highlight w:val="none"/>
                <w:lang w:val="en-US" w:eastAsia="zh-CN"/>
              </w:rPr>
            </w:pPr>
            <w:bookmarkStart w:id="9" w:name="_Toc14414381"/>
            <w:r>
              <w:rPr>
                <w:rFonts w:hint="default" w:ascii="Times New Roman" w:hAnsi="Times New Roman" w:eastAsia="宋体" w:cs="Times New Roman"/>
                <w:color w:val="auto"/>
                <w:sz w:val="24"/>
                <w:highlight w:val="none"/>
              </w:rPr>
              <w:t>①</w:t>
            </w:r>
            <w:r>
              <w:rPr>
                <w:rFonts w:hint="eastAsia" w:cs="Times New Roman"/>
                <w:color w:val="auto"/>
                <w:sz w:val="24"/>
                <w:highlight w:val="none"/>
                <w:lang w:val="en-US" w:eastAsia="zh-CN"/>
              </w:rPr>
              <w:t>新华路厂区现有项目废气排放情况汇总</w:t>
            </w:r>
          </w:p>
          <w:p>
            <w:pPr>
              <w:adjustRightInd w:val="0"/>
              <w:snapToGrid w:val="0"/>
              <w:spacing w:line="500" w:lineRule="exact"/>
              <w:ind w:firstLine="480" w:firstLineChars="200"/>
              <w:outlineLvl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现有项目废气排放情况见表2-</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w:t>
            </w:r>
            <w:bookmarkEnd w:id="9"/>
          </w:p>
          <w:p>
            <w:pPr>
              <w:spacing w:line="500" w:lineRule="exact"/>
              <w:jc w:val="center"/>
              <w:rPr>
                <w:rFonts w:hint="default" w:ascii="Times New Roman" w:hAnsi="Times New Roman" w:eastAsia="宋体" w:cs="Times New Roman"/>
                <w:b/>
                <w:color w:val="auto"/>
                <w:spacing w:val="-2"/>
                <w:sz w:val="24"/>
                <w:highlight w:val="none"/>
              </w:rPr>
            </w:pPr>
            <w:r>
              <w:rPr>
                <w:rFonts w:hint="default" w:ascii="Times New Roman" w:hAnsi="Times New Roman" w:eastAsia="宋体" w:cs="Times New Roman"/>
                <w:b/>
                <w:color w:val="auto"/>
                <w:spacing w:val="-2"/>
                <w:sz w:val="24"/>
                <w:highlight w:val="none"/>
              </w:rPr>
              <w:t>表2-</w:t>
            </w:r>
            <w:r>
              <w:rPr>
                <w:rFonts w:hint="default" w:ascii="Times New Roman" w:hAnsi="Times New Roman" w:eastAsia="宋体" w:cs="Times New Roman"/>
                <w:b/>
                <w:color w:val="auto"/>
                <w:spacing w:val="-2"/>
                <w:sz w:val="24"/>
                <w:highlight w:val="none"/>
                <w:lang w:val="en-US" w:eastAsia="zh-CN"/>
              </w:rPr>
              <w:t>8</w:t>
            </w:r>
            <w:r>
              <w:rPr>
                <w:rFonts w:hint="default" w:ascii="Times New Roman" w:hAnsi="Times New Roman" w:eastAsia="宋体" w:cs="Times New Roman"/>
                <w:b/>
                <w:color w:val="auto"/>
                <w:spacing w:val="-2"/>
                <w:sz w:val="24"/>
                <w:highlight w:val="none"/>
              </w:rPr>
              <w:t xml:space="preserve">   </w:t>
            </w:r>
            <w:r>
              <w:rPr>
                <w:rFonts w:hint="default" w:ascii="Times New Roman" w:hAnsi="Times New Roman" w:eastAsia="宋体" w:cs="Times New Roman"/>
                <w:b/>
                <w:color w:val="auto"/>
                <w:spacing w:val="-2"/>
                <w:sz w:val="24"/>
                <w:highlight w:val="none"/>
                <w:lang w:val="en-US" w:eastAsia="zh-CN"/>
              </w:rPr>
              <w:t>新华路厂区</w:t>
            </w:r>
            <w:r>
              <w:rPr>
                <w:rFonts w:hint="default" w:ascii="Times New Roman" w:hAnsi="Times New Roman" w:eastAsia="宋体" w:cs="Times New Roman"/>
                <w:b/>
                <w:color w:val="auto"/>
                <w:spacing w:val="-2"/>
                <w:sz w:val="24"/>
                <w:highlight w:val="none"/>
              </w:rPr>
              <w:t>现有项目废气污染物排放情况汇总表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14"/>
              <w:gridCol w:w="695"/>
              <w:gridCol w:w="1063"/>
              <w:gridCol w:w="1063"/>
              <w:gridCol w:w="1235"/>
              <w:gridCol w:w="1235"/>
              <w:gridCol w:w="1517"/>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858" w:type="dxa"/>
                  <w:vMerge w:val="restart"/>
                  <w:noWrap w:val="0"/>
                  <w:vAlign w:val="center"/>
                </w:tcPr>
                <w:p>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725" w:type="dxa"/>
                  <w:vMerge w:val="restart"/>
                  <w:noWrap w:val="0"/>
                  <w:vAlign w:val="center"/>
                </w:tcPr>
                <w:p>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p>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2232" w:type="dxa"/>
                  <w:gridSpan w:val="2"/>
                  <w:noWrap w:val="0"/>
                  <w:vAlign w:val="center"/>
                </w:tcPr>
                <w:p>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1130" w:type="dxa"/>
                  <w:vMerge w:val="restart"/>
                  <w:noWrap w:val="0"/>
                  <w:vAlign w:val="center"/>
                </w:tcPr>
                <w:p>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排放浓度(mg/m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1123" w:type="dxa"/>
                  <w:vMerge w:val="restart"/>
                  <w:noWrap w:val="0"/>
                  <w:vAlign w:val="center"/>
                </w:tcPr>
                <w:p>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排放速率(kg/h)</w:t>
                  </w:r>
                </w:p>
              </w:tc>
              <w:tc>
                <w:tcPr>
                  <w:tcW w:w="1519" w:type="dxa"/>
                  <w:vMerge w:val="restart"/>
                  <w:noWrap w:val="0"/>
                  <w:vAlign w:val="center"/>
                </w:tcPr>
                <w:p>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排气筒高度(m)</w:t>
                  </w:r>
                </w:p>
              </w:tc>
              <w:tc>
                <w:tcPr>
                  <w:tcW w:w="1028" w:type="dxa"/>
                  <w:vMerge w:val="restart"/>
                  <w:noWrap w:val="0"/>
                  <w:vAlign w:val="center"/>
                </w:tcPr>
                <w:p>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设计风量(m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c>
                <w:tcPr>
                  <w:tcW w:w="725"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c>
                <w:tcPr>
                  <w:tcW w:w="1116" w:type="dxa"/>
                  <w:noWrap w:val="0"/>
                  <w:vAlign w:val="center"/>
                </w:tcPr>
                <w:p>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合计</w:t>
                  </w:r>
                </w:p>
              </w:tc>
              <w:tc>
                <w:tcPr>
                  <w:tcW w:w="1116" w:type="dxa"/>
                  <w:noWrap w:val="0"/>
                  <w:vAlign w:val="center"/>
                </w:tcPr>
                <w:p>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w:t>
                  </w:r>
                </w:p>
              </w:tc>
              <w:tc>
                <w:tcPr>
                  <w:tcW w:w="1130"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c>
                <w:tcPr>
                  <w:tcW w:w="1123"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c>
                <w:tcPr>
                  <w:tcW w:w="1519"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c>
                <w:tcPr>
                  <w:tcW w:w="1028"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restar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金加工、清洗</w:t>
                  </w:r>
                </w:p>
              </w:tc>
              <w:tc>
                <w:tcPr>
                  <w:tcW w:w="725" w:type="dxa"/>
                  <w:vMerge w:val="restart"/>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116" w:type="dxa"/>
                  <w:vMerge w:val="restart"/>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4559</w:t>
                  </w:r>
                </w:p>
              </w:tc>
              <w:tc>
                <w:tcPr>
                  <w:tcW w:w="1116" w:type="dxa"/>
                  <w:noWrap w:val="0"/>
                  <w:vAlign w:val="center"/>
                </w:tcPr>
                <w:p>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0.</w:t>
                  </w:r>
                  <w:r>
                    <w:rPr>
                      <w:rFonts w:hint="default" w:ascii="Times New Roman" w:hAnsi="Times New Roman" w:eastAsia="宋体" w:cs="Times New Roman"/>
                      <w:b w:val="0"/>
                      <w:bCs w:val="0"/>
                      <w:color w:val="auto"/>
                      <w:sz w:val="21"/>
                      <w:szCs w:val="21"/>
                      <w:highlight w:val="none"/>
                      <w:lang w:val="en-US" w:eastAsia="zh-CN"/>
                    </w:rPr>
                    <w:t>048</w:t>
                  </w:r>
                </w:p>
              </w:tc>
              <w:tc>
                <w:tcPr>
                  <w:tcW w:w="1130" w:type="dxa"/>
                  <w:noWrap w:val="0"/>
                  <w:vAlign w:val="center"/>
                </w:tcPr>
                <w:p>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2.59</w:t>
                  </w:r>
                </w:p>
              </w:tc>
              <w:tc>
                <w:tcPr>
                  <w:tcW w:w="1123" w:type="dxa"/>
                  <w:noWrap w:val="0"/>
                  <w:vAlign w:val="center"/>
                </w:tcPr>
                <w:p>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0.007</w:t>
                  </w:r>
                </w:p>
              </w:tc>
              <w:tc>
                <w:tcPr>
                  <w:tcW w:w="1519" w:type="dxa"/>
                  <w:noWrap w:val="0"/>
                  <w:vAlign w:val="center"/>
                </w:tcPr>
                <w:p>
                  <w:pPr>
                    <w:snapToGrid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15</w:t>
                  </w:r>
                </w:p>
                <w:p>
                  <w:pPr>
                    <w:snapToGrid w:val="0"/>
                    <w:spacing w:line="24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（FQ</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21）</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vMerge w:val="continue"/>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p>
              </w:tc>
              <w:tc>
                <w:tcPr>
                  <w:tcW w:w="1116"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c>
                <w:tcPr>
                  <w:tcW w:w="1116"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eastAsiaTheme="minorEastAsia"/>
                      <w:color w:val="000000"/>
                      <w:szCs w:val="21"/>
                    </w:rPr>
                    <w:t>1.9691</w:t>
                  </w:r>
                </w:p>
              </w:tc>
              <w:tc>
                <w:tcPr>
                  <w:tcW w:w="1130"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11.7208</w:t>
                  </w:r>
                </w:p>
              </w:tc>
              <w:tc>
                <w:tcPr>
                  <w:tcW w:w="1123"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0.2930</w:t>
                  </w:r>
                </w:p>
              </w:tc>
              <w:tc>
                <w:tcPr>
                  <w:tcW w:w="1519" w:type="dxa"/>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01）</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vMerge w:val="continue"/>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p>
              </w:tc>
              <w:tc>
                <w:tcPr>
                  <w:tcW w:w="1116"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c>
                <w:tcPr>
                  <w:tcW w:w="1116"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0.54</w:t>
                  </w:r>
                </w:p>
              </w:tc>
              <w:tc>
                <w:tcPr>
                  <w:tcW w:w="1130"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1.0394-0.1036</w:t>
                  </w:r>
                </w:p>
              </w:tc>
              <w:tc>
                <w:tcPr>
                  <w:tcW w:w="1123"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0.3898-0.4138</w:t>
                  </w:r>
                </w:p>
              </w:tc>
              <w:tc>
                <w:tcPr>
                  <w:tcW w:w="1519" w:type="dxa"/>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02、</w:t>
                  </w:r>
                  <w:r>
                    <w:rPr>
                      <w:rFonts w:hint="eastAsia" w:cs="Times New Roman"/>
                      <w:color w:val="auto"/>
                      <w:sz w:val="21"/>
                      <w:szCs w:val="21"/>
                      <w:highlight w:val="none"/>
                      <w:lang w:val="en-US" w:eastAsia="zh-CN"/>
                    </w:rPr>
                    <w:t>FQ-</w:t>
                  </w:r>
                  <w:r>
                    <w:rPr>
                      <w:rFonts w:hint="default" w:ascii="Times New Roman" w:hAnsi="Times New Roman" w:eastAsia="宋体" w:cs="Times New Roman"/>
                      <w:color w:val="auto"/>
                      <w:sz w:val="21"/>
                      <w:szCs w:val="21"/>
                      <w:highlight w:val="none"/>
                    </w:rPr>
                    <w:t>10）</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37500×2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vMerge w:val="continue"/>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p>
              </w:tc>
              <w:tc>
                <w:tcPr>
                  <w:tcW w:w="1116"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c>
                <w:tcPr>
                  <w:tcW w:w="1116"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p>
              </w:tc>
              <w:tc>
                <w:tcPr>
                  <w:tcW w:w="1130"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1123"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0.119</w:t>
                  </w:r>
                </w:p>
              </w:tc>
              <w:tc>
                <w:tcPr>
                  <w:tcW w:w="1519" w:type="dxa"/>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22</w:t>
                  </w:r>
                  <w:r>
                    <w:rPr>
                      <w:rFonts w:hint="eastAsia" w:cs="Times New Roman"/>
                      <w:color w:val="auto"/>
                      <w:sz w:val="21"/>
                      <w:szCs w:val="21"/>
                      <w:highlight w:val="none"/>
                      <w:lang w:val="en-US" w:eastAsia="zh-CN"/>
                    </w:rPr>
                    <w:t>~FQ-</w:t>
                  </w:r>
                  <w:r>
                    <w:rPr>
                      <w:rFonts w:hint="default" w:ascii="Times New Roman" w:hAnsi="Times New Roman" w:eastAsia="宋体" w:cs="Times New Roman"/>
                      <w:color w:val="auto"/>
                      <w:sz w:val="21"/>
                      <w:szCs w:val="21"/>
                      <w:highlight w:val="none"/>
                    </w:rPr>
                    <w:t>29）</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未建设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vMerge w:val="continue"/>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p>
              </w:tc>
              <w:tc>
                <w:tcPr>
                  <w:tcW w:w="1116"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c>
                <w:tcPr>
                  <w:tcW w:w="1116"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0.0988</w:t>
                  </w:r>
                </w:p>
              </w:tc>
              <w:tc>
                <w:tcPr>
                  <w:tcW w:w="1130"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w:t>
                  </w:r>
                </w:p>
              </w:tc>
              <w:tc>
                <w:tcPr>
                  <w:tcW w:w="1123"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0.26</w:t>
                  </w:r>
                </w:p>
              </w:tc>
              <w:tc>
                <w:tcPr>
                  <w:tcW w:w="1519" w:type="dxa"/>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31）</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restar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清洗周转箱</w:t>
                  </w:r>
                </w:p>
              </w:tc>
              <w:tc>
                <w:tcPr>
                  <w:tcW w:w="725" w:type="dxa"/>
                  <w:vMerge w:val="restart"/>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1116" w:type="dxa"/>
                  <w:vMerge w:val="restart"/>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0.1433</w:t>
                  </w:r>
                </w:p>
              </w:tc>
              <w:tc>
                <w:tcPr>
                  <w:tcW w:w="1116" w:type="dxa"/>
                  <w:noWrap w:val="0"/>
                  <w:vAlign w:val="center"/>
                </w:tcPr>
                <w:p>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0.0304</w:t>
                  </w:r>
                </w:p>
              </w:tc>
              <w:tc>
                <w:tcPr>
                  <w:tcW w:w="1130" w:type="dxa"/>
                  <w:noWrap w:val="0"/>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0.0045</w:t>
                  </w:r>
                </w:p>
              </w:tc>
              <w:tc>
                <w:tcPr>
                  <w:tcW w:w="1519" w:type="dxa"/>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33）</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vMerge w:val="continue"/>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p>
              </w:tc>
              <w:tc>
                <w:tcPr>
                  <w:tcW w:w="1116"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c>
                <w:tcPr>
                  <w:tcW w:w="1116" w:type="dxa"/>
                  <w:noWrap w:val="0"/>
                  <w:vAlign w:val="center"/>
                </w:tcPr>
                <w:p>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0.0304</w:t>
                  </w:r>
                </w:p>
              </w:tc>
              <w:tc>
                <w:tcPr>
                  <w:tcW w:w="1130" w:type="dxa"/>
                  <w:noWrap w:val="0"/>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0.0045</w:t>
                  </w:r>
                </w:p>
              </w:tc>
              <w:tc>
                <w:tcPr>
                  <w:tcW w:w="1519" w:type="dxa"/>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34）</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vMerge w:val="continue"/>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p>
              </w:tc>
              <w:tc>
                <w:tcPr>
                  <w:tcW w:w="1116"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c>
                <w:tcPr>
                  <w:tcW w:w="1116" w:type="dxa"/>
                  <w:noWrap w:val="0"/>
                  <w:vAlign w:val="center"/>
                </w:tcPr>
                <w:p>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w:t>
                  </w:r>
                </w:p>
              </w:tc>
              <w:tc>
                <w:tcPr>
                  <w:tcW w:w="1130" w:type="dxa"/>
                  <w:noWrap w:val="0"/>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0.0045</w:t>
                  </w:r>
                </w:p>
              </w:tc>
              <w:tc>
                <w:tcPr>
                  <w:tcW w:w="1519" w:type="dxa"/>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35）</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vMerge w:val="continue"/>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p>
              </w:tc>
              <w:tc>
                <w:tcPr>
                  <w:tcW w:w="1116"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c>
                <w:tcPr>
                  <w:tcW w:w="1116" w:type="dxa"/>
                  <w:noWrap w:val="0"/>
                  <w:vAlign w:val="center"/>
                </w:tcPr>
                <w:p>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0.0525</w:t>
                  </w:r>
                </w:p>
              </w:tc>
              <w:tc>
                <w:tcPr>
                  <w:tcW w:w="1130" w:type="dxa"/>
                  <w:noWrap w:val="0"/>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0.0078</w:t>
                  </w:r>
                </w:p>
              </w:tc>
              <w:tc>
                <w:tcPr>
                  <w:tcW w:w="1519" w:type="dxa"/>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36）</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焊接</w:t>
                  </w: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232" w:type="dxa"/>
                  <w:gridSpan w:val="2"/>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1130"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2.3~2.5</w:t>
                  </w:r>
                </w:p>
              </w:tc>
              <w:tc>
                <w:tcPr>
                  <w:tcW w:w="1123"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0.007~0.045</w:t>
                  </w:r>
                </w:p>
              </w:tc>
              <w:tc>
                <w:tcPr>
                  <w:tcW w:w="1519" w:type="dxa"/>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11、FQ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32）</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镀铬</w:t>
                  </w: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铬酸雾</w:t>
                  </w:r>
                </w:p>
              </w:tc>
              <w:tc>
                <w:tcPr>
                  <w:tcW w:w="2232" w:type="dxa"/>
                  <w:gridSpan w:val="2"/>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0.00252</w:t>
                  </w:r>
                </w:p>
              </w:tc>
              <w:tc>
                <w:tcPr>
                  <w:tcW w:w="1130"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0.008-0.009</w:t>
                  </w:r>
                </w:p>
              </w:tc>
              <w:tc>
                <w:tcPr>
                  <w:tcW w:w="1123"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3.75×10</w:t>
                  </w:r>
                  <w:r>
                    <w:rPr>
                      <w:rFonts w:hint="default" w:ascii="Times New Roman" w:hAnsi="Times New Roman" w:eastAsia="宋体" w:cs="Times New Roman"/>
                      <w:color w:val="auto"/>
                      <w:sz w:val="21"/>
                      <w:szCs w:val="21"/>
                      <w:highlight w:val="none"/>
                      <w:vertAlign w:val="superscript"/>
                    </w:rPr>
                    <w:t>-4</w:t>
                  </w:r>
                </w:p>
              </w:tc>
              <w:tc>
                <w:tcPr>
                  <w:tcW w:w="1519" w:type="dxa"/>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03</w:t>
                  </w:r>
                  <w:r>
                    <w:rPr>
                      <w:rFonts w:hint="eastAsia" w:cs="Times New Roman"/>
                      <w:color w:val="auto"/>
                      <w:sz w:val="21"/>
                      <w:szCs w:val="21"/>
                      <w:highlight w:val="none"/>
                      <w:lang w:val="en-US" w:eastAsia="zh-CN"/>
                    </w:rPr>
                    <w:t>~FQ-</w:t>
                  </w:r>
                  <w:r>
                    <w:rPr>
                      <w:rFonts w:hint="default" w:ascii="Times New Roman" w:hAnsi="Times New Roman" w:eastAsia="宋体" w:cs="Times New Roman"/>
                      <w:color w:val="auto"/>
                      <w:sz w:val="21"/>
                      <w:szCs w:val="21"/>
                      <w:highlight w:val="none"/>
                    </w:rPr>
                    <w:t>04、FQ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12</w:t>
                  </w:r>
                  <w:r>
                    <w:rPr>
                      <w:rFonts w:hint="eastAsia" w:cs="Times New Roman"/>
                      <w:color w:val="auto"/>
                      <w:sz w:val="21"/>
                      <w:szCs w:val="21"/>
                      <w:highlight w:val="none"/>
                      <w:lang w:val="en-US" w:eastAsia="zh-CN"/>
                    </w:rPr>
                    <w:t>~FQ-</w:t>
                  </w:r>
                  <w:r>
                    <w:rPr>
                      <w:rFonts w:hint="default" w:ascii="Times New Roman" w:hAnsi="Times New Roman" w:eastAsia="宋体" w:cs="Times New Roman"/>
                      <w:color w:val="auto"/>
                      <w:sz w:val="21"/>
                      <w:szCs w:val="21"/>
                      <w:highlight w:val="none"/>
                    </w:rPr>
                    <w:t>13）</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喷砂</w:t>
                  </w: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232" w:type="dxa"/>
                  <w:gridSpan w:val="2"/>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w:t>
                  </w:r>
                </w:p>
              </w:tc>
              <w:tc>
                <w:tcPr>
                  <w:tcW w:w="113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1.3889</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0.0083</w:t>
                  </w:r>
                </w:p>
              </w:tc>
              <w:tc>
                <w:tcPr>
                  <w:tcW w:w="1519" w:type="dxa"/>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05、FQ-43）</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restar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实验室汽车尾气</w:t>
                  </w: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2232" w:type="dxa"/>
                  <w:gridSpan w:val="2"/>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1.28</w:t>
                  </w:r>
                </w:p>
              </w:tc>
              <w:tc>
                <w:tcPr>
                  <w:tcW w:w="113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3.49~7.91</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0.190</w:t>
                  </w:r>
                </w:p>
              </w:tc>
              <w:tc>
                <w:tcPr>
                  <w:tcW w:w="1519" w:type="dxa"/>
                  <w:vMerge w:val="restart"/>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07</w:t>
                  </w:r>
                  <w:r>
                    <w:rPr>
                      <w:rFonts w:hint="eastAsia" w:cs="Times New Roman"/>
                      <w:color w:val="auto"/>
                      <w:sz w:val="21"/>
                      <w:szCs w:val="21"/>
                      <w:highlight w:val="none"/>
                      <w:lang w:val="en-US" w:eastAsia="zh-CN"/>
                    </w:rPr>
                    <w:t>~FQ-</w:t>
                  </w:r>
                  <w:r>
                    <w:rPr>
                      <w:rFonts w:hint="default" w:ascii="Times New Roman" w:hAnsi="Times New Roman" w:eastAsia="宋体" w:cs="Times New Roman"/>
                      <w:color w:val="auto"/>
                      <w:sz w:val="21"/>
                      <w:szCs w:val="21"/>
                      <w:highlight w:val="none"/>
                    </w:rPr>
                    <w:t>09）</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THC</w:t>
                  </w:r>
                </w:p>
              </w:tc>
              <w:tc>
                <w:tcPr>
                  <w:tcW w:w="2232" w:type="dxa"/>
                  <w:gridSpan w:val="2"/>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2.08</w:t>
                  </w:r>
                </w:p>
              </w:tc>
              <w:tc>
                <w:tcPr>
                  <w:tcW w:w="113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0.310</w:t>
                  </w:r>
                </w:p>
              </w:tc>
              <w:tc>
                <w:tcPr>
                  <w:tcW w:w="1519" w:type="dxa"/>
                  <w:vMerge w:val="continue"/>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2232" w:type="dxa"/>
                  <w:gridSpan w:val="2"/>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0.296 </w:t>
                  </w:r>
                </w:p>
              </w:tc>
              <w:tc>
                <w:tcPr>
                  <w:tcW w:w="113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0.7~3.38</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0.044</w:t>
                  </w:r>
                </w:p>
              </w:tc>
              <w:tc>
                <w:tcPr>
                  <w:tcW w:w="1519" w:type="dxa"/>
                  <w:vMerge w:val="continue"/>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restar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热能去毛刺</w:t>
                  </w: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烟尘</w:t>
                  </w:r>
                </w:p>
              </w:tc>
              <w:tc>
                <w:tcPr>
                  <w:tcW w:w="2232" w:type="dxa"/>
                  <w:gridSpan w:val="2"/>
                  <w:noWrap w:val="0"/>
                  <w:vAlign w:val="center"/>
                </w:tcPr>
                <w:p>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0.015</w:t>
                  </w:r>
                </w:p>
              </w:tc>
              <w:tc>
                <w:tcPr>
                  <w:tcW w:w="1130" w:type="dxa"/>
                  <w:noWrap w:val="0"/>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19" w:type="dxa"/>
                  <w:vMerge w:val="restart"/>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30）</w:t>
                  </w:r>
                </w:p>
              </w:tc>
              <w:tc>
                <w:tcPr>
                  <w:tcW w:w="1028" w:type="dxa"/>
                  <w:vMerge w:val="restart"/>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2232" w:type="dxa"/>
                  <w:gridSpan w:val="2"/>
                  <w:noWrap w:val="0"/>
                  <w:vAlign w:val="center"/>
                </w:tcPr>
                <w:p>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1130" w:type="dxa"/>
                  <w:noWrap w:val="0"/>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19" w:type="dxa"/>
                  <w:vMerge w:val="continue"/>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p>
              </w:tc>
              <w:tc>
                <w:tcPr>
                  <w:tcW w:w="1028"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2232" w:type="dxa"/>
                  <w:gridSpan w:val="2"/>
                  <w:noWrap w:val="0"/>
                  <w:vAlign w:val="center"/>
                </w:tcPr>
                <w:p>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0.092</w:t>
                  </w:r>
                </w:p>
              </w:tc>
              <w:tc>
                <w:tcPr>
                  <w:tcW w:w="1130" w:type="dxa"/>
                  <w:noWrap w:val="0"/>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153.3</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19" w:type="dxa"/>
                  <w:vMerge w:val="continue"/>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p>
              </w:tc>
              <w:tc>
                <w:tcPr>
                  <w:tcW w:w="1028"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restar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食堂</w:t>
                  </w: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w:t>
                  </w:r>
                </w:p>
              </w:tc>
              <w:tc>
                <w:tcPr>
                  <w:tcW w:w="2232" w:type="dxa"/>
                  <w:gridSpan w:val="2"/>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0.054</w:t>
                  </w:r>
                </w:p>
              </w:tc>
              <w:tc>
                <w:tcPr>
                  <w:tcW w:w="1130"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123"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0.032</w:t>
                  </w:r>
                </w:p>
              </w:tc>
              <w:tc>
                <w:tcPr>
                  <w:tcW w:w="1519" w:type="dxa"/>
                  <w:vMerge w:val="restart"/>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06）</w:t>
                  </w:r>
                </w:p>
              </w:tc>
              <w:tc>
                <w:tcPr>
                  <w:tcW w:w="1028" w:type="dxa"/>
                  <w:vMerge w:val="restart"/>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烟尘</w:t>
                  </w:r>
                </w:p>
              </w:tc>
              <w:tc>
                <w:tcPr>
                  <w:tcW w:w="2232" w:type="dxa"/>
                  <w:gridSpan w:val="2"/>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w:t>
                  </w:r>
                </w:p>
              </w:tc>
              <w:tc>
                <w:tcPr>
                  <w:tcW w:w="1130"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24.5</w:t>
                  </w:r>
                </w:p>
              </w:tc>
              <w:tc>
                <w:tcPr>
                  <w:tcW w:w="1123"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19" w:type="dxa"/>
                  <w:vMerge w:val="continue"/>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p>
              </w:tc>
              <w:tc>
                <w:tcPr>
                  <w:tcW w:w="1028"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2232" w:type="dxa"/>
                  <w:gridSpan w:val="2"/>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1130"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3.09</w:t>
                  </w:r>
                </w:p>
              </w:tc>
              <w:tc>
                <w:tcPr>
                  <w:tcW w:w="1123"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19" w:type="dxa"/>
                  <w:vMerge w:val="continue"/>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p>
              </w:tc>
              <w:tc>
                <w:tcPr>
                  <w:tcW w:w="1028"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2232" w:type="dxa"/>
                  <w:gridSpan w:val="2"/>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0.074</w:t>
                  </w:r>
                </w:p>
              </w:tc>
              <w:tc>
                <w:tcPr>
                  <w:tcW w:w="1130"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149.7</w:t>
                  </w:r>
                </w:p>
              </w:tc>
              <w:tc>
                <w:tcPr>
                  <w:tcW w:w="1123"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19" w:type="dxa"/>
                  <w:vMerge w:val="continue"/>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p>
              </w:tc>
              <w:tc>
                <w:tcPr>
                  <w:tcW w:w="1028"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涂胶</w:t>
                  </w: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2232" w:type="dxa"/>
                  <w:gridSpan w:val="2"/>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0.0074</w:t>
                  </w:r>
                </w:p>
              </w:tc>
              <w:tc>
                <w:tcPr>
                  <w:tcW w:w="1130"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1.094</w:t>
                  </w:r>
                </w:p>
              </w:tc>
              <w:tc>
                <w:tcPr>
                  <w:tcW w:w="1123"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0.0033</w:t>
                  </w:r>
                </w:p>
              </w:tc>
              <w:tc>
                <w:tcPr>
                  <w:tcW w:w="1519" w:type="dxa"/>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38）</w:t>
                  </w:r>
                </w:p>
              </w:tc>
              <w:tc>
                <w:tcPr>
                  <w:tcW w:w="1028" w:type="dxa"/>
                  <w:noWrap w:val="0"/>
                  <w:vAlign w:val="center"/>
                </w:tcPr>
                <w:p>
                  <w:pPr>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未建设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w:t>
                  </w:r>
                </w:p>
              </w:tc>
              <w:tc>
                <w:tcPr>
                  <w:tcW w:w="725" w:type="dxa"/>
                  <w:noWrap w:val="0"/>
                  <w:vAlign w:val="center"/>
                </w:tcPr>
                <w:p>
                  <w:pPr>
                    <w:autoSpaceDE w:val="0"/>
                    <w:autoSpaceDN w:val="0"/>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2232" w:type="dxa"/>
                  <w:gridSpan w:val="2"/>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0.0004</w:t>
                  </w:r>
                </w:p>
              </w:tc>
              <w:tc>
                <w:tcPr>
                  <w:tcW w:w="1130"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0.4286</w:t>
                  </w:r>
                </w:p>
              </w:tc>
              <w:tc>
                <w:tcPr>
                  <w:tcW w:w="1123"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0.0007</w:t>
                  </w:r>
                </w:p>
              </w:tc>
              <w:tc>
                <w:tcPr>
                  <w:tcW w:w="1519" w:type="dxa"/>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p>
                  <w:pPr>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39）</w:t>
                  </w:r>
                </w:p>
              </w:tc>
              <w:tc>
                <w:tcPr>
                  <w:tcW w:w="1028" w:type="dxa"/>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noWrap w:val="0"/>
                  <w:vAlign w:val="center"/>
                </w:tcPr>
                <w:p>
                  <w:pPr>
                    <w:adjustRightInd w:val="0"/>
                    <w:snapToGrid w:val="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高压去毛刺、清洗、烘干</w:t>
                  </w:r>
                </w:p>
              </w:tc>
              <w:tc>
                <w:tcPr>
                  <w:tcW w:w="725" w:type="dxa"/>
                  <w:noWrap w:val="0"/>
                  <w:vAlign w:val="center"/>
                </w:tcPr>
                <w:p>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2232" w:type="dxa"/>
                  <w:gridSpan w:val="2"/>
                  <w:noWrap w:val="0"/>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130" w:type="dxa"/>
                  <w:noWrap w:val="0"/>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123" w:type="dxa"/>
                  <w:noWrap w:val="0"/>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519" w:type="dxa"/>
                  <w:noWrap w:val="0"/>
                  <w:vAlign w:val="center"/>
                </w:tcPr>
                <w:p>
                  <w:pPr>
                    <w:adjustRightInd w:val="0"/>
                    <w:snapToGrid w:val="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FQ</w:t>
                  </w:r>
                  <w:r>
                    <w:rPr>
                      <w:rFonts w:hint="eastAsia"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rPr>
                    <w:t>40</w:t>
                  </w:r>
                </w:p>
              </w:tc>
              <w:tc>
                <w:tcPr>
                  <w:tcW w:w="1028" w:type="dxa"/>
                  <w:noWrap w:val="0"/>
                  <w:vAlign w:val="center"/>
                </w:tcPr>
                <w:p>
                  <w:pPr>
                    <w:snapToGrid w:val="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restart"/>
                  <w:noWrap w:val="0"/>
                  <w:vAlign w:val="center"/>
                </w:tcPr>
                <w:p>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注塑废气</w:t>
                  </w:r>
                </w:p>
              </w:tc>
              <w:tc>
                <w:tcPr>
                  <w:tcW w:w="725" w:type="dxa"/>
                  <w:noWrap w:val="0"/>
                  <w:vAlign w:val="center"/>
                </w:tcPr>
                <w:p>
                  <w:pPr>
                    <w:adjustRightInd w:val="0"/>
                    <w:snapToGrid w:val="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w:t>
                  </w:r>
                </w:p>
                <w:p>
                  <w:pPr>
                    <w:adjustRightInd w:val="0"/>
                    <w:snapToGrid w:val="0"/>
                    <w:ind w:left="-105" w:leftChars="-50" w:right="-105" w:rightChars="-5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总烃</w:t>
                  </w:r>
                </w:p>
              </w:tc>
              <w:tc>
                <w:tcPr>
                  <w:tcW w:w="2232" w:type="dxa"/>
                  <w:gridSpan w:val="2"/>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w:t>
                  </w:r>
                </w:p>
              </w:tc>
              <w:tc>
                <w:tcPr>
                  <w:tcW w:w="113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0.0046</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0.000046</w:t>
                  </w:r>
                </w:p>
              </w:tc>
              <w:tc>
                <w:tcPr>
                  <w:tcW w:w="1519"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FQ-42</w:t>
                  </w:r>
                </w:p>
              </w:tc>
              <w:tc>
                <w:tcPr>
                  <w:tcW w:w="1028" w:type="dxa"/>
                  <w:vMerge w:val="restart"/>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highlight w:val="none"/>
                    </w:rPr>
                  </w:pPr>
                </w:p>
              </w:tc>
              <w:tc>
                <w:tcPr>
                  <w:tcW w:w="725" w:type="dxa"/>
                  <w:noWrap w:val="0"/>
                  <w:vAlign w:val="center"/>
                </w:tcPr>
                <w:p>
                  <w:pPr>
                    <w:adjustRightInd w:val="0"/>
                    <w:snapToGrid w:val="0"/>
                    <w:ind w:left="-105" w:leftChars="-50" w:right="-105" w:rightChars="-5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氨</w:t>
                  </w:r>
                </w:p>
              </w:tc>
              <w:tc>
                <w:tcPr>
                  <w:tcW w:w="2232" w:type="dxa"/>
                  <w:gridSpan w:val="2"/>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0.00001</w:t>
                  </w:r>
                </w:p>
              </w:tc>
              <w:tc>
                <w:tcPr>
                  <w:tcW w:w="113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0.0004</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0.000004</w:t>
                  </w:r>
                </w:p>
              </w:tc>
              <w:tc>
                <w:tcPr>
                  <w:tcW w:w="151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028"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highlight w:val="none"/>
                    </w:rPr>
                  </w:pPr>
                </w:p>
              </w:tc>
              <w:tc>
                <w:tcPr>
                  <w:tcW w:w="725" w:type="dxa"/>
                  <w:noWrap w:val="0"/>
                  <w:vAlign w:val="center"/>
                </w:tcPr>
                <w:p>
                  <w:pPr>
                    <w:adjustRightInd w:val="0"/>
                    <w:snapToGrid w:val="0"/>
                    <w:ind w:left="-105" w:leftChars="-50" w:right="-105" w:rightChars="-5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颗粒物</w:t>
                  </w:r>
                </w:p>
              </w:tc>
              <w:tc>
                <w:tcPr>
                  <w:tcW w:w="2232" w:type="dxa"/>
                  <w:gridSpan w:val="2"/>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0.0077</w:t>
                  </w:r>
                </w:p>
              </w:tc>
              <w:tc>
                <w:tcPr>
                  <w:tcW w:w="113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0.3208</w:t>
                  </w:r>
                </w:p>
              </w:tc>
              <w:tc>
                <w:tcPr>
                  <w:tcW w:w="11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0.0032</w:t>
                  </w:r>
                </w:p>
              </w:tc>
              <w:tc>
                <w:tcPr>
                  <w:tcW w:w="151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028"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restart"/>
                  <w:noWrap w:val="0"/>
                  <w:vAlign w:val="center"/>
                </w:tcPr>
                <w:p>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污水处理站</w:t>
                  </w:r>
                </w:p>
              </w:tc>
              <w:tc>
                <w:tcPr>
                  <w:tcW w:w="725" w:type="dxa"/>
                  <w:noWrap w:val="0"/>
                  <w:vAlign w:val="center"/>
                </w:tcPr>
                <w:p>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S</w:t>
                  </w:r>
                </w:p>
              </w:tc>
              <w:tc>
                <w:tcPr>
                  <w:tcW w:w="2232" w:type="dxa"/>
                  <w:gridSpan w:val="2"/>
                  <w:noWrap w:val="0"/>
                  <w:vAlign w:val="center"/>
                </w:tcPr>
                <w:p>
                  <w:pPr>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0.037</w:t>
                  </w:r>
                </w:p>
              </w:tc>
              <w:tc>
                <w:tcPr>
                  <w:tcW w:w="1130" w:type="dxa"/>
                  <w:noWrap w:val="0"/>
                  <w:vAlign w:val="center"/>
                </w:tcPr>
                <w:p>
                  <w:pPr>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1.1012</w:t>
                  </w:r>
                </w:p>
              </w:tc>
              <w:tc>
                <w:tcPr>
                  <w:tcW w:w="1123" w:type="dxa"/>
                  <w:noWrap w:val="0"/>
                  <w:vAlign w:val="center"/>
                </w:tcPr>
                <w:p>
                  <w:pPr>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0.0055</w:t>
                  </w:r>
                </w:p>
              </w:tc>
              <w:tc>
                <w:tcPr>
                  <w:tcW w:w="1519"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41</w:t>
                  </w:r>
                </w:p>
              </w:tc>
              <w:tc>
                <w:tcPr>
                  <w:tcW w:w="1028" w:type="dxa"/>
                  <w:vMerge w:val="restart"/>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noWrap w:val="0"/>
                  <w:vAlign w:val="center"/>
                </w:tcPr>
                <w:p>
                  <w:pPr>
                    <w:adjustRightInd w:val="0"/>
                    <w:snapToGrid w:val="0"/>
                    <w:jc w:val="center"/>
                    <w:rPr>
                      <w:rFonts w:hint="default" w:ascii="Times New Roman" w:hAnsi="Times New Roman" w:eastAsia="宋体" w:cs="Times New Roman"/>
                      <w:bCs/>
                      <w:color w:val="auto"/>
                      <w:sz w:val="21"/>
                      <w:szCs w:val="21"/>
                      <w:highlight w:val="none"/>
                      <w:vertAlign w:val="subscript"/>
                    </w:rPr>
                  </w:pPr>
                  <w:r>
                    <w:rPr>
                      <w:rFonts w:hint="default" w:ascii="Times New Roman" w:hAnsi="Times New Roman" w:eastAsia="宋体" w:cs="Times New Roman"/>
                      <w:bCs/>
                      <w:color w:val="auto"/>
                      <w:sz w:val="21"/>
                      <w:szCs w:val="21"/>
                      <w:highlight w:val="none"/>
                    </w:rPr>
                    <w:t>NH</w:t>
                  </w:r>
                  <w:r>
                    <w:rPr>
                      <w:rFonts w:hint="default" w:ascii="Times New Roman" w:hAnsi="Times New Roman" w:eastAsia="宋体" w:cs="Times New Roman"/>
                      <w:bCs/>
                      <w:color w:val="auto"/>
                      <w:sz w:val="21"/>
                      <w:szCs w:val="21"/>
                      <w:highlight w:val="none"/>
                      <w:vertAlign w:val="subscript"/>
                    </w:rPr>
                    <w:t>3</w:t>
                  </w:r>
                </w:p>
              </w:tc>
              <w:tc>
                <w:tcPr>
                  <w:tcW w:w="2232" w:type="dxa"/>
                  <w:gridSpan w:val="2"/>
                  <w:noWrap w:val="0"/>
                  <w:vAlign w:val="center"/>
                </w:tcPr>
                <w:p>
                  <w:pPr>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0.034</w:t>
                  </w:r>
                </w:p>
              </w:tc>
              <w:tc>
                <w:tcPr>
                  <w:tcW w:w="1130" w:type="dxa"/>
                  <w:noWrap w:val="0"/>
                  <w:vAlign w:val="center"/>
                </w:tcPr>
                <w:p>
                  <w:pPr>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1.0119</w:t>
                  </w:r>
                </w:p>
              </w:tc>
              <w:tc>
                <w:tcPr>
                  <w:tcW w:w="1123" w:type="dxa"/>
                  <w:noWrap w:val="0"/>
                  <w:vAlign w:val="center"/>
                </w:tcPr>
                <w:p>
                  <w:pPr>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0.0051</w:t>
                  </w:r>
                </w:p>
              </w:tc>
              <w:tc>
                <w:tcPr>
                  <w:tcW w:w="1519" w:type="dxa"/>
                  <w:vMerge w:val="continue"/>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p>
              </w:tc>
              <w:tc>
                <w:tcPr>
                  <w:tcW w:w="1028"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8"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5" w:type="dxa"/>
                  <w:noWrap w:val="0"/>
                  <w:vAlign w:val="center"/>
                </w:tcPr>
                <w:p>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2232" w:type="dxa"/>
                  <w:gridSpan w:val="2"/>
                  <w:noWrap w:val="0"/>
                  <w:vAlign w:val="center"/>
                </w:tcPr>
                <w:p>
                  <w:pPr>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0.0924</w:t>
                  </w:r>
                </w:p>
              </w:tc>
              <w:tc>
                <w:tcPr>
                  <w:tcW w:w="1130" w:type="dxa"/>
                  <w:noWrap w:val="0"/>
                  <w:vAlign w:val="center"/>
                </w:tcPr>
                <w:p>
                  <w:pPr>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2.75</w:t>
                  </w:r>
                </w:p>
              </w:tc>
              <w:tc>
                <w:tcPr>
                  <w:tcW w:w="1123" w:type="dxa"/>
                  <w:noWrap w:val="0"/>
                  <w:vAlign w:val="center"/>
                </w:tcPr>
                <w:p>
                  <w:pPr>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0.0138</w:t>
                  </w:r>
                </w:p>
              </w:tc>
              <w:tc>
                <w:tcPr>
                  <w:tcW w:w="1519" w:type="dxa"/>
                  <w:vMerge w:val="continue"/>
                  <w:noWrap w:val="0"/>
                  <w:vAlign w:val="center"/>
                </w:tcPr>
                <w:p>
                  <w:pPr>
                    <w:snapToGrid w:val="0"/>
                    <w:spacing w:line="240" w:lineRule="exact"/>
                    <w:jc w:val="center"/>
                    <w:rPr>
                      <w:rFonts w:hint="default" w:ascii="Times New Roman" w:hAnsi="Times New Roman" w:eastAsia="宋体" w:cs="Times New Roman"/>
                      <w:color w:val="auto"/>
                      <w:sz w:val="21"/>
                      <w:szCs w:val="21"/>
                      <w:highlight w:val="none"/>
                    </w:rPr>
                  </w:pPr>
                </w:p>
              </w:tc>
              <w:tc>
                <w:tcPr>
                  <w:tcW w:w="1028" w:type="dxa"/>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8" w:type="dxa"/>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无组织</w:t>
                  </w:r>
                </w:p>
              </w:tc>
              <w:tc>
                <w:tcPr>
                  <w:tcW w:w="725" w:type="dxa"/>
                  <w:noWrap w:val="0"/>
                  <w:vAlign w:val="center"/>
                </w:tcPr>
                <w:p>
                  <w:pPr>
                    <w:tabs>
                      <w:tab w:val="left" w:pos="3780"/>
                    </w:tabs>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污染物名称</w:t>
                  </w:r>
                </w:p>
              </w:tc>
              <w:tc>
                <w:tcPr>
                  <w:tcW w:w="3362" w:type="dxa"/>
                  <w:gridSpan w:val="3"/>
                  <w:noWrap w:val="0"/>
                  <w:vAlign w:val="center"/>
                </w:tcPr>
                <w:p>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3670" w:type="dxa"/>
                  <w:gridSpan w:val="3"/>
                  <w:noWrap w:val="0"/>
                  <w:vAlign w:val="center"/>
                </w:tcPr>
                <w:p>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卫生防护距离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858" w:type="dxa"/>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w:t>
                  </w:r>
                </w:p>
              </w:tc>
              <w:tc>
                <w:tcPr>
                  <w:tcW w:w="725" w:type="dxa"/>
                  <w:noWrap w:val="0"/>
                  <w:vAlign w:val="center"/>
                </w:tcPr>
                <w:p>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3362" w:type="dxa"/>
                  <w:gridSpan w:val="3"/>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w:t>
                  </w:r>
                  <w:r>
                    <w:rPr>
                      <w:rFonts w:hint="eastAsia" w:cs="Times New Roman"/>
                      <w:color w:val="auto"/>
                      <w:sz w:val="21"/>
                      <w:szCs w:val="21"/>
                      <w:highlight w:val="none"/>
                      <w:lang w:val="en-US" w:eastAsia="zh-CN"/>
                    </w:rPr>
                    <w:t>96</w:t>
                  </w:r>
                </w:p>
              </w:tc>
              <w:tc>
                <w:tcPr>
                  <w:tcW w:w="3670" w:type="dxa"/>
                  <w:gridSpan w:val="3"/>
                  <w:vMerge w:val="restart"/>
                  <w:noWrap w:val="0"/>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302车间卫生防护距离推荐值100米，308车间卫生防护距离推荐值50米，清洗车间卫生防护距离推荐值50米。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858" w:type="dxa"/>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w:t>
                  </w:r>
                </w:p>
              </w:tc>
              <w:tc>
                <w:tcPr>
                  <w:tcW w:w="725" w:type="dxa"/>
                  <w:noWrap w:val="0"/>
                  <w:vAlign w:val="center"/>
                </w:tcPr>
                <w:p>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3362" w:type="dxa"/>
                  <w:gridSpan w:val="3"/>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0.00001</w:t>
                  </w:r>
                </w:p>
              </w:tc>
              <w:tc>
                <w:tcPr>
                  <w:tcW w:w="3670" w:type="dxa"/>
                  <w:gridSpan w:val="3"/>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858" w:type="dxa"/>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w:t>
                  </w:r>
                </w:p>
              </w:tc>
              <w:tc>
                <w:tcPr>
                  <w:tcW w:w="725" w:type="dxa"/>
                  <w:noWrap w:val="0"/>
                  <w:vAlign w:val="center"/>
                </w:tcPr>
                <w:p>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3362" w:type="dxa"/>
                  <w:gridSpan w:val="3"/>
                  <w:noWrap w:val="0"/>
                  <w:vAlign w:val="center"/>
                </w:tcPr>
                <w:p>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06</w:t>
                  </w:r>
                  <w:r>
                    <w:rPr>
                      <w:rFonts w:hint="eastAsia" w:cs="Times New Roman"/>
                      <w:color w:val="auto"/>
                      <w:sz w:val="21"/>
                      <w:szCs w:val="21"/>
                      <w:highlight w:val="none"/>
                      <w:lang w:val="en-US" w:eastAsia="zh-CN"/>
                    </w:rPr>
                    <w:t>74</w:t>
                  </w:r>
                </w:p>
              </w:tc>
              <w:tc>
                <w:tcPr>
                  <w:tcW w:w="3670" w:type="dxa"/>
                  <w:gridSpan w:val="3"/>
                  <w:vMerge w:val="continue"/>
                  <w:noWrap w:val="0"/>
                  <w:vAlign w:val="center"/>
                </w:tcPr>
                <w:p>
                  <w:pPr>
                    <w:snapToGrid w:val="0"/>
                    <w:jc w:val="center"/>
                    <w:rPr>
                      <w:rFonts w:hint="default" w:ascii="Times New Roman" w:hAnsi="Times New Roman" w:eastAsia="宋体" w:cs="Times New Roman"/>
                      <w:color w:val="auto"/>
                      <w:sz w:val="21"/>
                      <w:szCs w:val="21"/>
                      <w:highlight w:val="none"/>
                    </w:rPr>
                  </w:pPr>
                </w:p>
              </w:tc>
            </w:tr>
          </w:tbl>
          <w:p>
            <w:pPr>
              <w:adjustRightInd w:val="0"/>
              <w:snapToGrid w:val="0"/>
              <w:spacing w:line="500" w:lineRule="exact"/>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②</w:t>
            </w:r>
            <w:r>
              <w:rPr>
                <w:rFonts w:hint="eastAsia" w:cs="Times New Roman"/>
                <w:color w:val="auto"/>
                <w:sz w:val="24"/>
                <w:highlight w:val="none"/>
                <w:lang w:val="en-US" w:eastAsia="zh-CN"/>
              </w:rPr>
              <w:t>新华路厂区现有项目有组织废气排放情况</w:t>
            </w:r>
          </w:p>
          <w:p>
            <w:pPr>
              <w:adjustRightInd w:val="0"/>
              <w:snapToGrid w:val="0"/>
              <w:spacing w:line="500" w:lineRule="exact"/>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根据由无锡环净检测技术有限公司于2022年5月23日出具的例行监测报告（报告编号：HJJC220731），企业有组织废气监测结果如下表所示：</w:t>
            </w:r>
          </w:p>
          <w:p>
            <w:pPr>
              <w:spacing w:line="500" w:lineRule="exact"/>
              <w:jc w:val="center"/>
              <w:rPr>
                <w:rFonts w:hint="default" w:ascii="Times New Roman" w:hAnsi="Times New Roman" w:eastAsia="宋体" w:cs="Times New Roman"/>
                <w:b/>
                <w:color w:val="auto"/>
                <w:spacing w:val="-2"/>
                <w:sz w:val="24"/>
                <w:highlight w:val="none"/>
              </w:rPr>
            </w:pPr>
            <w:r>
              <w:rPr>
                <w:rFonts w:hint="default" w:ascii="Times New Roman" w:hAnsi="Times New Roman" w:eastAsia="宋体" w:cs="Times New Roman"/>
                <w:b/>
                <w:color w:val="auto"/>
                <w:spacing w:val="-2"/>
                <w:sz w:val="21"/>
                <w:szCs w:val="21"/>
                <w:highlight w:val="none"/>
              </w:rPr>
              <w:t>表2-</w:t>
            </w:r>
            <w:r>
              <w:rPr>
                <w:rFonts w:hint="eastAsia" w:cs="Times New Roman"/>
                <w:b/>
                <w:color w:val="auto"/>
                <w:spacing w:val="-2"/>
                <w:sz w:val="21"/>
                <w:szCs w:val="21"/>
                <w:highlight w:val="none"/>
                <w:lang w:val="en-US" w:eastAsia="zh-CN"/>
              </w:rPr>
              <w:t>9</w:t>
            </w:r>
            <w:r>
              <w:rPr>
                <w:rFonts w:hint="eastAsia" w:cs="Times New Roman"/>
                <w:b/>
                <w:color w:val="auto"/>
                <w:spacing w:val="-2"/>
                <w:sz w:val="24"/>
                <w:highlight w:val="none"/>
                <w:lang w:val="en-US" w:eastAsia="zh-CN"/>
              </w:rPr>
              <w:t xml:space="preserve">  </w:t>
            </w:r>
            <w:r>
              <w:rPr>
                <w:rFonts w:hint="default" w:ascii="Times New Roman" w:hAnsi="Times New Roman" w:eastAsia="宋体" w:cs="Times New Roman"/>
                <w:b/>
                <w:color w:val="auto"/>
                <w:spacing w:val="-2"/>
                <w:sz w:val="24"/>
                <w:highlight w:val="none"/>
              </w:rPr>
              <w:t xml:space="preserve">  </w:t>
            </w:r>
            <w:r>
              <w:rPr>
                <w:rFonts w:hint="default" w:ascii="Times New Roman" w:hAnsi="Times New Roman" w:eastAsia="宋体" w:cs="Times New Roman"/>
                <w:b/>
                <w:color w:val="auto"/>
                <w:spacing w:val="-2"/>
                <w:sz w:val="24"/>
                <w:highlight w:val="none"/>
                <w:lang w:val="en-US" w:eastAsia="zh-CN"/>
              </w:rPr>
              <w:t>新华路厂区</w:t>
            </w:r>
            <w:r>
              <w:rPr>
                <w:rFonts w:hint="default" w:ascii="Times New Roman" w:hAnsi="Times New Roman" w:eastAsia="宋体" w:cs="Times New Roman"/>
                <w:b/>
                <w:color w:val="auto"/>
                <w:spacing w:val="-2"/>
                <w:sz w:val="24"/>
                <w:highlight w:val="none"/>
              </w:rPr>
              <w:t>现有项目</w:t>
            </w:r>
            <w:r>
              <w:rPr>
                <w:rFonts w:hint="eastAsia" w:cs="Times New Roman"/>
                <w:b/>
                <w:color w:val="auto"/>
                <w:spacing w:val="-2"/>
                <w:sz w:val="24"/>
                <w:highlight w:val="none"/>
                <w:lang w:val="en-US" w:eastAsia="zh-CN"/>
              </w:rPr>
              <w:t>有组织</w:t>
            </w:r>
            <w:r>
              <w:rPr>
                <w:rFonts w:hint="default" w:ascii="Times New Roman" w:hAnsi="Times New Roman" w:eastAsia="宋体" w:cs="Times New Roman"/>
                <w:b/>
                <w:color w:val="auto"/>
                <w:spacing w:val="-2"/>
                <w:sz w:val="24"/>
                <w:highlight w:val="none"/>
              </w:rPr>
              <w:t>废气污染物排放情况</w:t>
            </w:r>
            <w:r>
              <w:rPr>
                <w:rFonts w:hint="eastAsia" w:cs="Times New Roman"/>
                <w:b/>
                <w:color w:val="auto"/>
                <w:spacing w:val="-2"/>
                <w:sz w:val="24"/>
                <w:highlight w:val="none"/>
                <w:lang w:val="en-US" w:eastAsia="zh-CN"/>
              </w:rPr>
              <w:t>监测</w:t>
            </w:r>
            <w:r>
              <w:rPr>
                <w:rFonts w:hint="default" w:ascii="Times New Roman" w:hAnsi="Times New Roman" w:eastAsia="宋体" w:cs="Times New Roman"/>
                <w:b/>
                <w:color w:val="auto"/>
                <w:spacing w:val="-2"/>
                <w:sz w:val="24"/>
                <w:highlight w:val="none"/>
              </w:rPr>
              <w:t>汇总表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968"/>
              <w:gridCol w:w="823"/>
              <w:gridCol w:w="1057"/>
              <w:gridCol w:w="538"/>
              <w:gridCol w:w="359"/>
              <w:gridCol w:w="176"/>
              <w:gridCol w:w="538"/>
              <w:gridCol w:w="185"/>
              <w:gridCol w:w="350"/>
              <w:gridCol w:w="545"/>
              <w:gridCol w:w="933"/>
              <w:gridCol w:w="1052"/>
              <w:gridCol w:w="5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21"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hint="eastAsia" w:eastAsia="宋体"/>
                      <w:b/>
                      <w:bCs/>
                      <w:szCs w:val="21"/>
                      <w:lang w:eastAsia="zh-CN"/>
                    </w:rPr>
                  </w:pPr>
                  <w:r>
                    <w:rPr>
                      <w:rFonts w:hint="eastAsia"/>
                      <w:b/>
                      <w:bCs/>
                      <w:szCs w:val="21"/>
                      <w:lang w:val="en-US" w:eastAsia="zh-CN"/>
                    </w:rPr>
                    <w:t>排放口</w:t>
                  </w:r>
                </w:p>
              </w:tc>
              <w:tc>
                <w:tcPr>
                  <w:tcW w:w="562"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hint="default"/>
                      <w:b/>
                      <w:bCs/>
                      <w:szCs w:val="21"/>
                      <w:lang w:val="en-US" w:eastAsia="zh-CN"/>
                    </w:rPr>
                  </w:pPr>
                  <w:r>
                    <w:rPr>
                      <w:rFonts w:hint="eastAsia"/>
                      <w:b/>
                      <w:bCs/>
                      <w:szCs w:val="21"/>
                      <w:lang w:val="en-US" w:eastAsia="zh-CN"/>
                    </w:rPr>
                    <w:t>检测时间(2022年)</w:t>
                  </w:r>
                </w:p>
              </w:tc>
              <w:tc>
                <w:tcPr>
                  <w:tcW w:w="1090" w:type="pct"/>
                  <w:gridSpan w:val="2"/>
                  <w:vMerge w:val="restart"/>
                  <w:noWrap w:val="0"/>
                  <w:tcMar>
                    <w:top w:w="0" w:type="dxa"/>
                    <w:left w:w="0" w:type="dxa"/>
                    <w:bottom w:w="0" w:type="dxa"/>
                    <w:right w:w="0" w:type="dxa"/>
                  </w:tcMar>
                  <w:vAlign w:val="center"/>
                </w:tcPr>
                <w:p>
                  <w:pPr>
                    <w:widowControl/>
                    <w:adjustRightInd w:val="0"/>
                    <w:snapToGrid w:val="0"/>
                    <w:spacing w:line="240" w:lineRule="auto"/>
                    <w:jc w:val="center"/>
                    <w:rPr>
                      <w:rFonts w:hint="eastAsia" w:eastAsia="宋体"/>
                      <w:b/>
                      <w:bCs/>
                      <w:szCs w:val="21"/>
                      <w:lang w:val="en-US" w:eastAsia="zh-CN"/>
                    </w:rPr>
                  </w:pPr>
                  <w:r>
                    <w:rPr>
                      <w:rFonts w:hint="eastAsia"/>
                      <w:b/>
                      <w:bCs/>
                      <w:szCs w:val="21"/>
                      <w:lang w:val="en-US" w:eastAsia="zh-CN"/>
                    </w:rPr>
                    <w:t>检测项目</w:t>
                  </w:r>
                </w:p>
              </w:tc>
              <w:tc>
                <w:tcPr>
                  <w:tcW w:w="2101" w:type="pct"/>
                  <w:gridSpan w:val="8"/>
                  <w:noWrap w:val="0"/>
                  <w:tcMar>
                    <w:top w:w="0" w:type="dxa"/>
                    <w:left w:w="0" w:type="dxa"/>
                    <w:bottom w:w="0" w:type="dxa"/>
                    <w:right w:w="0" w:type="dxa"/>
                  </w:tcMar>
                  <w:vAlign w:val="center"/>
                </w:tcPr>
                <w:p>
                  <w:pPr>
                    <w:widowControl/>
                    <w:adjustRightInd w:val="0"/>
                    <w:snapToGrid w:val="0"/>
                    <w:jc w:val="center"/>
                    <w:rPr>
                      <w:b/>
                      <w:bCs/>
                      <w:szCs w:val="21"/>
                    </w:rPr>
                  </w:pPr>
                  <w:r>
                    <w:rPr>
                      <w:rFonts w:hint="eastAsia"/>
                      <w:b/>
                      <w:bCs/>
                      <w:szCs w:val="21"/>
                      <w:lang w:val="en-US" w:eastAsia="zh-CN"/>
                    </w:rPr>
                    <w:t>检测结果</w:t>
                  </w:r>
                </w:p>
              </w:tc>
              <w:tc>
                <w:tcPr>
                  <w:tcW w:w="610" w:type="pct"/>
                  <w:vMerge w:val="restart"/>
                  <w:noWrap w:val="0"/>
                  <w:tcMar>
                    <w:top w:w="0" w:type="dxa"/>
                    <w:left w:w="0" w:type="dxa"/>
                    <w:bottom w:w="0" w:type="dxa"/>
                    <w:right w:w="0" w:type="dxa"/>
                  </w:tcMar>
                  <w:vAlign w:val="center"/>
                </w:tcPr>
                <w:p>
                  <w:pPr>
                    <w:widowControl/>
                    <w:adjustRightInd w:val="0"/>
                    <w:snapToGrid w:val="0"/>
                    <w:jc w:val="center"/>
                    <w:rPr>
                      <w:b/>
                      <w:bCs/>
                      <w:szCs w:val="21"/>
                    </w:rPr>
                  </w:pPr>
                  <w:r>
                    <w:rPr>
                      <w:rFonts w:hint="eastAsia"/>
                      <w:b/>
                      <w:bCs/>
                      <w:szCs w:val="21"/>
                      <w:lang w:val="en-US" w:eastAsia="zh-CN"/>
                    </w:rPr>
                    <w:t>标准值</w:t>
                  </w:r>
                </w:p>
              </w:tc>
              <w:tc>
                <w:tcPr>
                  <w:tcW w:w="314" w:type="pct"/>
                  <w:vMerge w:val="restart"/>
                  <w:noWrap w:val="0"/>
                  <w:tcMar>
                    <w:top w:w="0" w:type="dxa"/>
                    <w:left w:w="0" w:type="dxa"/>
                    <w:bottom w:w="0" w:type="dxa"/>
                    <w:right w:w="0" w:type="dxa"/>
                  </w:tcMar>
                  <w:vAlign w:val="center"/>
                </w:tcPr>
                <w:p>
                  <w:pPr>
                    <w:widowControl/>
                    <w:adjustRightInd w:val="0"/>
                    <w:snapToGrid w:val="0"/>
                    <w:jc w:val="center"/>
                    <w:rPr>
                      <w:rFonts w:hint="eastAsia"/>
                      <w:b/>
                      <w:bCs/>
                      <w:szCs w:val="21"/>
                      <w:lang w:val="en-US" w:eastAsia="zh-CN"/>
                    </w:rPr>
                  </w:pPr>
                  <w:r>
                    <w:rPr>
                      <w:rFonts w:hint="eastAsia"/>
                      <w:b/>
                      <w:bCs/>
                      <w:szCs w:val="21"/>
                      <w:lang w:val="en-US" w:eastAsia="zh-CN"/>
                    </w:rPr>
                    <w:t>是否</w:t>
                  </w:r>
                </w:p>
                <w:p>
                  <w:pPr>
                    <w:widowControl/>
                    <w:adjustRightInd w:val="0"/>
                    <w:snapToGrid w:val="0"/>
                    <w:jc w:val="center"/>
                    <w:rPr>
                      <w:rFonts w:hint="eastAsia" w:eastAsia="宋体"/>
                      <w:b/>
                      <w:bCs/>
                      <w:szCs w:val="21"/>
                      <w:lang w:val="en-US" w:eastAsia="zh-CN"/>
                    </w:rPr>
                  </w:pPr>
                  <w:r>
                    <w:rPr>
                      <w:rFonts w:hint="eastAsia"/>
                      <w:b/>
                      <w:bCs/>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21" w:type="pct"/>
                  <w:vMerge w:val="continue"/>
                  <w:noWrap w:val="0"/>
                  <w:tcMar>
                    <w:top w:w="0" w:type="dxa"/>
                    <w:left w:w="0" w:type="dxa"/>
                    <w:bottom w:w="0" w:type="dxa"/>
                    <w:right w:w="0" w:type="dxa"/>
                  </w:tcMar>
                  <w:vAlign w:val="center"/>
                </w:tcPr>
                <w:p>
                  <w:pPr>
                    <w:widowControl/>
                    <w:adjustRightInd w:val="0"/>
                    <w:snapToGrid w:val="0"/>
                    <w:jc w:val="center"/>
                    <w:rPr>
                      <w:b w:val="0"/>
                      <w:bCs w:val="0"/>
                      <w:szCs w:val="21"/>
                    </w:rPr>
                  </w:pPr>
                </w:p>
              </w:tc>
              <w:tc>
                <w:tcPr>
                  <w:tcW w:w="562" w:type="pct"/>
                  <w:vMerge w:val="continue"/>
                  <w:noWrap w:val="0"/>
                  <w:tcMar>
                    <w:top w:w="0" w:type="dxa"/>
                    <w:left w:w="0" w:type="dxa"/>
                    <w:bottom w:w="0" w:type="dxa"/>
                    <w:right w:w="0" w:type="dxa"/>
                  </w:tcMar>
                  <w:vAlign w:val="center"/>
                </w:tcPr>
                <w:p>
                  <w:pPr>
                    <w:widowControl/>
                    <w:adjustRightInd w:val="0"/>
                    <w:snapToGrid w:val="0"/>
                    <w:jc w:val="center"/>
                    <w:rPr>
                      <w:b w:val="0"/>
                      <w:bCs w:val="0"/>
                      <w:szCs w:val="21"/>
                    </w:rPr>
                  </w:pPr>
                </w:p>
              </w:tc>
              <w:tc>
                <w:tcPr>
                  <w:tcW w:w="1090" w:type="pct"/>
                  <w:gridSpan w:val="2"/>
                  <w:vMerge w:val="continue"/>
                  <w:noWrap w:val="0"/>
                  <w:tcMar>
                    <w:top w:w="0" w:type="dxa"/>
                    <w:left w:w="0" w:type="dxa"/>
                    <w:bottom w:w="0" w:type="dxa"/>
                    <w:right w:w="0" w:type="dxa"/>
                  </w:tcMar>
                  <w:vAlign w:val="center"/>
                </w:tcPr>
                <w:p>
                  <w:pPr>
                    <w:widowControl/>
                    <w:adjustRightInd w:val="0"/>
                    <w:snapToGrid w:val="0"/>
                    <w:jc w:val="center"/>
                    <w:rPr>
                      <w:b w:val="0"/>
                      <w:bCs w:val="0"/>
                      <w:szCs w:val="21"/>
                    </w:rPr>
                  </w:pPr>
                </w:p>
              </w:tc>
              <w:tc>
                <w:tcPr>
                  <w:tcW w:w="520" w:type="pct"/>
                  <w:gridSpan w:val="2"/>
                  <w:noWrap w:val="0"/>
                  <w:tcMar>
                    <w:top w:w="0" w:type="dxa"/>
                    <w:left w:w="0" w:type="dxa"/>
                    <w:bottom w:w="0" w:type="dxa"/>
                    <w:right w:w="0" w:type="dxa"/>
                  </w:tcMar>
                  <w:vAlign w:val="center"/>
                </w:tcPr>
                <w:p>
                  <w:pPr>
                    <w:widowControl/>
                    <w:adjustRightInd w:val="0"/>
                    <w:snapToGrid w:val="0"/>
                    <w:jc w:val="center"/>
                    <w:rPr>
                      <w:rFonts w:hint="eastAsia" w:eastAsia="宋体"/>
                      <w:b/>
                      <w:bCs/>
                      <w:szCs w:val="21"/>
                      <w:lang w:val="en-US" w:eastAsia="zh-CN"/>
                    </w:rPr>
                  </w:pPr>
                  <w:r>
                    <w:rPr>
                      <w:rFonts w:hint="eastAsia"/>
                      <w:b/>
                      <w:bCs/>
                      <w:szCs w:val="21"/>
                      <w:lang w:val="en-US" w:eastAsia="zh-CN"/>
                    </w:rPr>
                    <w:t>第一次</w:t>
                  </w:r>
                </w:p>
              </w:tc>
              <w:tc>
                <w:tcPr>
                  <w:tcW w:w="521" w:type="pct"/>
                  <w:gridSpan w:val="3"/>
                  <w:noWrap w:val="0"/>
                  <w:tcMar>
                    <w:top w:w="0" w:type="dxa"/>
                    <w:left w:w="0" w:type="dxa"/>
                    <w:bottom w:w="0" w:type="dxa"/>
                    <w:right w:w="0" w:type="dxa"/>
                  </w:tcMar>
                  <w:vAlign w:val="center"/>
                </w:tcPr>
                <w:p>
                  <w:pPr>
                    <w:widowControl/>
                    <w:adjustRightInd w:val="0"/>
                    <w:snapToGrid w:val="0"/>
                    <w:jc w:val="center"/>
                    <w:rPr>
                      <w:rFonts w:hint="eastAsia" w:eastAsia="宋体"/>
                      <w:b/>
                      <w:bCs/>
                      <w:szCs w:val="21"/>
                      <w:lang w:val="en-US" w:eastAsia="zh-CN"/>
                    </w:rPr>
                  </w:pPr>
                  <w:r>
                    <w:rPr>
                      <w:rFonts w:hint="eastAsia"/>
                      <w:b/>
                      <w:bCs/>
                      <w:szCs w:val="21"/>
                      <w:lang w:val="en-US" w:eastAsia="zh-CN"/>
                    </w:rPr>
                    <w:t>第二次</w:t>
                  </w:r>
                </w:p>
              </w:tc>
              <w:tc>
                <w:tcPr>
                  <w:tcW w:w="519" w:type="pct"/>
                  <w:gridSpan w:val="2"/>
                  <w:noWrap w:val="0"/>
                  <w:tcMar>
                    <w:top w:w="0" w:type="dxa"/>
                    <w:left w:w="0" w:type="dxa"/>
                    <w:bottom w:w="0" w:type="dxa"/>
                    <w:right w:w="0" w:type="dxa"/>
                  </w:tcMar>
                  <w:vAlign w:val="center"/>
                </w:tcPr>
                <w:p>
                  <w:pPr>
                    <w:widowControl/>
                    <w:adjustRightInd w:val="0"/>
                    <w:snapToGrid w:val="0"/>
                    <w:jc w:val="center"/>
                    <w:rPr>
                      <w:rFonts w:hint="eastAsia" w:eastAsia="宋体"/>
                      <w:b/>
                      <w:bCs/>
                      <w:szCs w:val="21"/>
                      <w:lang w:val="en-US" w:eastAsia="zh-CN"/>
                    </w:rPr>
                  </w:pPr>
                  <w:r>
                    <w:rPr>
                      <w:rFonts w:hint="eastAsia"/>
                      <w:b/>
                      <w:bCs/>
                      <w:szCs w:val="21"/>
                      <w:lang w:val="en-US" w:eastAsia="zh-CN"/>
                    </w:rPr>
                    <w:t>第三次</w:t>
                  </w:r>
                </w:p>
              </w:tc>
              <w:tc>
                <w:tcPr>
                  <w:tcW w:w="541" w:type="pct"/>
                  <w:noWrap w:val="0"/>
                  <w:tcMar>
                    <w:top w:w="0" w:type="dxa"/>
                    <w:left w:w="0" w:type="dxa"/>
                    <w:bottom w:w="0" w:type="dxa"/>
                    <w:right w:w="0" w:type="dxa"/>
                  </w:tcMar>
                  <w:vAlign w:val="center"/>
                </w:tcPr>
                <w:p>
                  <w:pPr>
                    <w:widowControl/>
                    <w:adjustRightInd w:val="0"/>
                    <w:snapToGrid w:val="0"/>
                    <w:jc w:val="center"/>
                    <w:rPr>
                      <w:rFonts w:hint="default" w:eastAsia="宋体"/>
                      <w:b/>
                      <w:bCs/>
                      <w:szCs w:val="21"/>
                      <w:lang w:val="en-US" w:eastAsia="zh-CN"/>
                    </w:rPr>
                  </w:pPr>
                  <w:r>
                    <w:rPr>
                      <w:rFonts w:hint="eastAsia"/>
                      <w:b/>
                      <w:bCs/>
                      <w:szCs w:val="21"/>
                      <w:lang w:val="en-US" w:eastAsia="zh-CN"/>
                    </w:rPr>
                    <w:t>平均</w:t>
                  </w:r>
                </w:p>
              </w:tc>
              <w:tc>
                <w:tcPr>
                  <w:tcW w:w="610" w:type="pct"/>
                  <w:vMerge w:val="continue"/>
                  <w:noWrap w:val="0"/>
                  <w:tcMar>
                    <w:top w:w="0" w:type="dxa"/>
                    <w:left w:w="0" w:type="dxa"/>
                    <w:bottom w:w="0" w:type="dxa"/>
                    <w:right w:w="0" w:type="dxa"/>
                  </w:tcMar>
                  <w:vAlign w:val="center"/>
                </w:tcPr>
                <w:p>
                  <w:pPr>
                    <w:widowControl/>
                    <w:adjustRightInd w:val="0"/>
                    <w:snapToGrid w:val="0"/>
                    <w:jc w:val="center"/>
                    <w:rPr>
                      <w:b w:val="0"/>
                      <w:bCs w:val="0"/>
                      <w:szCs w:val="21"/>
                    </w:rPr>
                  </w:pPr>
                </w:p>
              </w:tc>
              <w:tc>
                <w:tcPr>
                  <w:tcW w:w="314" w:type="pct"/>
                  <w:vMerge w:val="continue"/>
                  <w:noWrap w:val="0"/>
                  <w:tcMar>
                    <w:top w:w="0" w:type="dxa"/>
                    <w:left w:w="0" w:type="dxa"/>
                    <w:bottom w:w="0" w:type="dxa"/>
                    <w:right w:w="0" w:type="dxa"/>
                  </w:tcMar>
                  <w:vAlign w:val="center"/>
                </w:tcPr>
                <w:p>
                  <w:pPr>
                    <w:widowControl/>
                    <w:adjustRightInd w:val="0"/>
                    <w:snapToGrid w:val="0"/>
                    <w:jc w:val="center"/>
                    <w:rPr>
                      <w:b w:val="0"/>
                      <w:bCs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21"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hint="default" w:eastAsia="宋体"/>
                      <w:b w:val="0"/>
                      <w:bCs w:val="0"/>
                      <w:szCs w:val="21"/>
                      <w:lang w:val="en-US" w:eastAsia="zh-CN"/>
                    </w:rPr>
                  </w:pPr>
                  <w:r>
                    <w:rPr>
                      <w:rFonts w:hint="eastAsia"/>
                      <w:b w:val="0"/>
                      <w:bCs w:val="0"/>
                      <w:szCs w:val="21"/>
                      <w:lang w:val="en-US" w:eastAsia="zh-CN"/>
                    </w:rPr>
                    <w:t>FQ-01</w:t>
                  </w:r>
                </w:p>
              </w:tc>
              <w:tc>
                <w:tcPr>
                  <w:tcW w:w="562"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hint="default"/>
                      <w:b w:val="0"/>
                      <w:bCs w:val="0"/>
                      <w:szCs w:val="21"/>
                      <w:lang w:val="en-US" w:eastAsia="zh-CN"/>
                    </w:rPr>
                  </w:pPr>
                  <w:r>
                    <w:rPr>
                      <w:rFonts w:hint="eastAsia"/>
                      <w:b w:val="0"/>
                      <w:bCs w:val="0"/>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hint="default" w:eastAsia="宋体"/>
                      <w:b w:val="0"/>
                      <w:bCs w:val="0"/>
                      <w:szCs w:val="21"/>
                      <w:lang w:val="en-US" w:eastAsia="zh-CN"/>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rFonts w:hint="eastAsia"/>
                      <w:b w:val="0"/>
                      <w:bCs w:val="0"/>
                      <w:szCs w:val="21"/>
                      <w:lang w:val="en-US" w:eastAsia="zh-CN"/>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b w:val="0"/>
                      <w:bCs w:val="0"/>
                      <w:szCs w:val="21"/>
                      <w:lang w:val="en-US" w:eastAsia="zh-CN"/>
                    </w:rPr>
                  </w:pPr>
                  <w:r>
                    <w:rPr>
                      <w:rFonts w:hint="eastAsia"/>
                      <w:b w:val="0"/>
                      <w:bCs w:val="0"/>
                      <w:szCs w:val="21"/>
                      <w:lang w:val="en-US" w:eastAsia="zh-CN"/>
                    </w:rPr>
                    <w:t>0.99</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eastAsia="宋体" w:cs="Times New Roman"/>
                      <w:b w:val="0"/>
                      <w:bCs w:val="0"/>
                      <w:i w:val="0"/>
                      <w:iCs w:val="0"/>
                      <w:color w:val="000000"/>
                      <w:kern w:val="0"/>
                      <w:sz w:val="21"/>
                      <w:szCs w:val="21"/>
                      <w:u w:val="none"/>
                      <w:lang w:val="en-US" w:eastAsia="zh-CN" w:bidi="ar"/>
                    </w:rPr>
                    <w:t>0.99</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eastAsia="宋体" w:cs="Times New Roman"/>
                      <w:b w:val="0"/>
                      <w:bCs w:val="0"/>
                      <w:i w:val="0"/>
                      <w:iCs w:val="0"/>
                      <w:color w:val="000000"/>
                      <w:kern w:val="0"/>
                      <w:sz w:val="21"/>
                      <w:szCs w:val="21"/>
                      <w:u w:val="none"/>
                      <w:lang w:val="en-US" w:eastAsia="zh-CN" w:bidi="ar"/>
                    </w:rPr>
                    <w:t>1.02</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eastAsia="宋体" w:cs="Times New Roman"/>
                      <w:b w:val="0"/>
                      <w:bCs w:val="0"/>
                      <w:i w:val="0"/>
                      <w:iCs w:val="0"/>
                      <w:color w:val="000000"/>
                      <w:kern w:val="0"/>
                      <w:sz w:val="21"/>
                      <w:szCs w:val="21"/>
                      <w:u w:val="none"/>
                      <w:lang w:val="en-US" w:eastAsia="zh-CN" w:bidi="ar"/>
                    </w:rPr>
                    <w:t>1.00</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b w:val="0"/>
                      <w:bCs w:val="0"/>
                      <w:szCs w:val="21"/>
                      <w:lang w:val="en-US" w:eastAsia="zh-CN"/>
                    </w:rPr>
                  </w:pPr>
                  <w:r>
                    <w:rPr>
                      <w:rFonts w:hint="eastAsia"/>
                      <w:b w:val="0"/>
                      <w:bCs w:val="0"/>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21" w:type="pct"/>
                  <w:vMerge w:val="continue"/>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p>
              </w:tc>
              <w:tc>
                <w:tcPr>
                  <w:tcW w:w="562" w:type="pct"/>
                  <w:vMerge w:val="continue"/>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p>
              </w:tc>
              <w:tc>
                <w:tcPr>
                  <w:tcW w:w="477" w:type="pct"/>
                  <w:vMerge w:val="continue"/>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rFonts w:hint="eastAsia"/>
                      <w:b w:val="0"/>
                      <w:bCs w:val="0"/>
                      <w:szCs w:val="21"/>
                      <w:lang w:val="en-US" w:eastAsia="zh-CN"/>
                    </w:rPr>
                  </w:pPr>
                  <w:r>
                    <w:rPr>
                      <w:b w:val="0"/>
                      <w:bCs w:val="0"/>
                      <w:szCs w:val="21"/>
                    </w:rPr>
                    <w:t>排放速率（kg/h）</w:t>
                  </w:r>
                </w:p>
              </w:tc>
              <w:tc>
                <w:tcPr>
                  <w:tcW w:w="520" w:type="pct"/>
                  <w:gridSpan w:val="2"/>
                  <w:noWrap w:val="0"/>
                  <w:tcMar>
                    <w:top w:w="0" w:type="dxa"/>
                    <w:left w:w="0" w:type="dxa"/>
                    <w:bottom w:w="0" w:type="dxa"/>
                    <w:right w:w="0" w:type="dxa"/>
                  </w:tcMar>
                  <w:vAlign w:val="center"/>
                </w:tcPr>
                <w:p>
                  <w:pPr>
                    <w:widowControl/>
                    <w:adjustRightInd w:val="0"/>
                    <w:snapToGrid w:val="0"/>
                    <w:spacing w:line="240" w:lineRule="auto"/>
                    <w:jc w:val="center"/>
                    <w:rPr>
                      <w:rFonts w:hint="default"/>
                      <w:b w:val="0"/>
                      <w:bCs w:val="0"/>
                      <w:szCs w:val="21"/>
                      <w:lang w:val="en-US" w:eastAsia="zh-CN"/>
                    </w:rPr>
                  </w:pPr>
                  <w:r>
                    <w:rPr>
                      <w:rFonts w:hint="eastAsia"/>
                      <w:b w:val="0"/>
                      <w:bCs w:val="0"/>
                      <w:szCs w:val="21"/>
                      <w:lang w:val="en-US" w:eastAsia="zh-CN"/>
                    </w:rPr>
                    <w:t>0.022</w:t>
                  </w:r>
                </w:p>
              </w:tc>
              <w:tc>
                <w:tcPr>
                  <w:tcW w:w="521" w:type="pct"/>
                  <w:gridSpan w:val="3"/>
                  <w:noWrap w:val="0"/>
                  <w:tcMar>
                    <w:top w:w="0" w:type="dxa"/>
                    <w:left w:w="0" w:type="dxa"/>
                    <w:bottom w:w="0" w:type="dxa"/>
                    <w:right w:w="0" w:type="dxa"/>
                  </w:tcMar>
                  <w:vAlign w:val="center"/>
                </w:tcPr>
                <w:p>
                  <w:pPr>
                    <w:widowControl/>
                    <w:adjustRightInd w:val="0"/>
                    <w:snapToGrid w:val="0"/>
                    <w:spacing w:line="240" w:lineRule="auto"/>
                    <w:jc w:val="center"/>
                    <w:rPr>
                      <w:rFonts w:hint="default"/>
                      <w:b w:val="0"/>
                      <w:bCs w:val="0"/>
                      <w:szCs w:val="21"/>
                      <w:lang w:val="en-US" w:eastAsia="zh-CN"/>
                    </w:rPr>
                  </w:pPr>
                  <w:r>
                    <w:rPr>
                      <w:rFonts w:hint="eastAsia"/>
                      <w:b w:val="0"/>
                      <w:bCs w:val="0"/>
                      <w:szCs w:val="21"/>
                      <w:lang w:val="en-US" w:eastAsia="zh-CN"/>
                    </w:rPr>
                    <w:t>0.021</w:t>
                  </w:r>
                </w:p>
              </w:tc>
              <w:tc>
                <w:tcPr>
                  <w:tcW w:w="519" w:type="pct"/>
                  <w:gridSpan w:val="2"/>
                  <w:noWrap w:val="0"/>
                  <w:tcMar>
                    <w:top w:w="0" w:type="dxa"/>
                    <w:left w:w="0" w:type="dxa"/>
                    <w:bottom w:w="0" w:type="dxa"/>
                    <w:right w:w="0" w:type="dxa"/>
                  </w:tcMar>
                  <w:vAlign w:val="center"/>
                </w:tcPr>
                <w:p>
                  <w:pPr>
                    <w:widowControl/>
                    <w:adjustRightInd w:val="0"/>
                    <w:snapToGrid w:val="0"/>
                    <w:spacing w:line="240" w:lineRule="auto"/>
                    <w:jc w:val="center"/>
                    <w:rPr>
                      <w:rFonts w:hint="default"/>
                      <w:b w:val="0"/>
                      <w:bCs w:val="0"/>
                      <w:szCs w:val="21"/>
                      <w:lang w:val="en-US" w:eastAsia="zh-CN"/>
                    </w:rPr>
                  </w:pPr>
                  <w:r>
                    <w:rPr>
                      <w:rFonts w:hint="eastAsia"/>
                      <w:b w:val="0"/>
                      <w:bCs w:val="0"/>
                      <w:szCs w:val="21"/>
                      <w:lang w:val="en-US" w:eastAsia="zh-CN"/>
                    </w:rPr>
                    <w:t>0.022</w:t>
                  </w:r>
                </w:p>
              </w:tc>
              <w:tc>
                <w:tcPr>
                  <w:tcW w:w="541" w:type="pct"/>
                  <w:noWrap w:val="0"/>
                  <w:tcMar>
                    <w:top w:w="0" w:type="dxa"/>
                    <w:left w:w="0" w:type="dxa"/>
                    <w:bottom w:w="0" w:type="dxa"/>
                    <w:right w:w="0" w:type="dxa"/>
                  </w:tcMar>
                  <w:vAlign w:val="center"/>
                </w:tcPr>
                <w:p>
                  <w:pPr>
                    <w:widowControl/>
                    <w:adjustRightInd w:val="0"/>
                    <w:snapToGrid w:val="0"/>
                    <w:spacing w:line="240" w:lineRule="auto"/>
                    <w:jc w:val="center"/>
                    <w:rPr>
                      <w:rFonts w:hint="default"/>
                      <w:b w:val="0"/>
                      <w:bCs w:val="0"/>
                      <w:szCs w:val="21"/>
                      <w:lang w:val="en-US" w:eastAsia="zh-CN"/>
                    </w:rPr>
                  </w:pPr>
                  <w:r>
                    <w:rPr>
                      <w:rFonts w:hint="eastAsia"/>
                      <w:b w:val="0"/>
                      <w:bCs w:val="0"/>
                      <w:szCs w:val="21"/>
                      <w:lang w:val="en-US" w:eastAsia="zh-CN"/>
                    </w:rPr>
                    <w:t>0.022</w:t>
                  </w:r>
                </w:p>
              </w:tc>
              <w:tc>
                <w:tcPr>
                  <w:tcW w:w="610" w:type="pct"/>
                  <w:noWrap w:val="0"/>
                  <w:tcMar>
                    <w:top w:w="0" w:type="dxa"/>
                    <w:left w:w="0" w:type="dxa"/>
                    <w:bottom w:w="0" w:type="dxa"/>
                    <w:right w:w="0" w:type="dxa"/>
                  </w:tcMar>
                  <w:vAlign w:val="center"/>
                </w:tcPr>
                <w:p>
                  <w:pPr>
                    <w:widowControl/>
                    <w:adjustRightInd w:val="0"/>
                    <w:snapToGrid w:val="0"/>
                    <w:spacing w:line="240" w:lineRule="auto"/>
                    <w:jc w:val="center"/>
                    <w:rPr>
                      <w:rFonts w:hint="default"/>
                      <w:b w:val="0"/>
                      <w:bCs w:val="0"/>
                      <w:szCs w:val="21"/>
                      <w:lang w:val="en-US" w:eastAsia="zh-CN"/>
                    </w:rPr>
                  </w:pPr>
                  <w:r>
                    <w:rPr>
                      <w:rFonts w:hint="eastAsia"/>
                      <w:b w:val="0"/>
                      <w:bCs w:val="0"/>
                      <w:szCs w:val="21"/>
                      <w:lang w:val="en-US" w:eastAsia="zh-CN"/>
                    </w:rPr>
                    <w:t>3</w:t>
                  </w:r>
                </w:p>
              </w:tc>
              <w:tc>
                <w:tcPr>
                  <w:tcW w:w="314" w:type="pct"/>
                  <w:noWrap w:val="0"/>
                  <w:tcMar>
                    <w:top w:w="0" w:type="dxa"/>
                    <w:left w:w="0" w:type="dxa"/>
                    <w:bottom w:w="0" w:type="dxa"/>
                    <w:right w:w="0" w:type="dxa"/>
                  </w:tcMar>
                  <w:vAlign w:val="center"/>
                </w:tcPr>
                <w:p>
                  <w:pPr>
                    <w:widowControl/>
                    <w:adjustRightInd w:val="0"/>
                    <w:snapToGrid w:val="0"/>
                    <w:spacing w:line="240" w:lineRule="auto"/>
                    <w:jc w:val="center"/>
                    <w:rPr>
                      <w:rFonts w:hint="eastAsia"/>
                      <w:b w:val="0"/>
                      <w:bCs w:val="0"/>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hint="default" w:eastAsia="宋体"/>
                      <w:b w:val="0"/>
                      <w:bCs w:val="0"/>
                      <w:szCs w:val="21"/>
                      <w:lang w:val="en-US" w:eastAsia="zh-CN"/>
                    </w:rPr>
                  </w:pPr>
                  <w:r>
                    <w:rPr>
                      <w:rFonts w:hint="eastAsia"/>
                      <w:b w:val="0"/>
                      <w:bCs w:val="0"/>
                      <w:szCs w:val="21"/>
                      <w:lang w:val="en-US" w:eastAsia="zh-CN"/>
                    </w:rPr>
                    <w:t>FQ-02</w:t>
                  </w:r>
                </w:p>
              </w:tc>
              <w:tc>
                <w:tcPr>
                  <w:tcW w:w="562"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hint="default"/>
                      <w:b w:val="0"/>
                      <w:bCs w:val="0"/>
                      <w:szCs w:val="21"/>
                      <w:lang w:val="en-US" w:eastAsia="zh-CN"/>
                    </w:rPr>
                  </w:pPr>
                  <w:r>
                    <w:rPr>
                      <w:rFonts w:hint="eastAsia"/>
                      <w:b w:val="0"/>
                      <w:bCs w:val="0"/>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hint="eastAsia"/>
                      <w:b w:val="0"/>
                      <w:bCs w:val="0"/>
                      <w:szCs w:val="21"/>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rFonts w:hint="eastAsia"/>
                      <w:b w:val="0"/>
                      <w:bCs w:val="0"/>
                      <w:szCs w:val="21"/>
                      <w:lang w:val="en-US" w:eastAsia="zh-CN"/>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b w:val="0"/>
                      <w:bCs w:val="0"/>
                      <w:szCs w:val="21"/>
                      <w:lang w:val="en-US" w:eastAsia="zh-CN"/>
                    </w:rPr>
                  </w:pPr>
                  <w:r>
                    <w:rPr>
                      <w:rFonts w:hint="eastAsia"/>
                      <w:b w:val="0"/>
                      <w:bCs w:val="0"/>
                      <w:szCs w:val="21"/>
                      <w:lang w:val="en-US" w:eastAsia="zh-CN"/>
                    </w:rPr>
                    <w:t>0.68</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b w:val="0"/>
                      <w:bCs w:val="0"/>
                      <w:szCs w:val="21"/>
                      <w:lang w:val="en-US" w:eastAsia="zh-CN"/>
                    </w:rPr>
                  </w:pPr>
                  <w:r>
                    <w:rPr>
                      <w:rFonts w:hint="eastAsia"/>
                      <w:b w:val="0"/>
                      <w:bCs w:val="0"/>
                      <w:szCs w:val="21"/>
                      <w:lang w:val="en-US" w:eastAsia="zh-CN"/>
                    </w:rPr>
                    <w:t>0.64</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b w:val="0"/>
                      <w:bCs w:val="0"/>
                      <w:szCs w:val="21"/>
                      <w:lang w:val="en-US" w:eastAsia="zh-CN"/>
                    </w:rPr>
                  </w:pPr>
                  <w:r>
                    <w:rPr>
                      <w:rFonts w:hint="eastAsia"/>
                      <w:b w:val="0"/>
                      <w:bCs w:val="0"/>
                      <w:szCs w:val="21"/>
                      <w:lang w:val="en-US" w:eastAsia="zh-CN"/>
                    </w:rPr>
                    <w:t>0.69</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b w:val="0"/>
                      <w:bCs w:val="0"/>
                      <w:szCs w:val="21"/>
                      <w:lang w:val="en-US" w:eastAsia="zh-CN"/>
                    </w:rPr>
                  </w:pPr>
                  <w:r>
                    <w:rPr>
                      <w:rFonts w:hint="eastAsia"/>
                      <w:b w:val="0"/>
                      <w:bCs w:val="0"/>
                      <w:szCs w:val="21"/>
                      <w:lang w:val="en-US" w:eastAsia="zh-CN"/>
                    </w:rPr>
                    <w:t>0.67</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b w:val="0"/>
                      <w:bCs w:val="0"/>
                      <w:szCs w:val="21"/>
                      <w:lang w:val="en-US" w:eastAsia="zh-CN"/>
                    </w:rPr>
                  </w:pPr>
                  <w:r>
                    <w:rPr>
                      <w:rFonts w:hint="eastAsia"/>
                      <w:b w:val="0"/>
                      <w:bCs w:val="0"/>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szCs w:val="21"/>
                      <w:lang w:val="en-US" w:eastAsia="zh-CN"/>
                    </w:rPr>
                  </w:pPr>
                  <w:r>
                    <w:rPr>
                      <w:rFonts w:hint="eastAsia"/>
                      <w:szCs w:val="21"/>
                      <w:lang w:val="en-US" w:eastAsia="zh-CN"/>
                    </w:rPr>
                    <w:t>0.02</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szCs w:val="21"/>
                      <w:lang w:val="en-US" w:eastAsia="zh-CN"/>
                    </w:rPr>
                  </w:pPr>
                  <w:r>
                    <w:rPr>
                      <w:rFonts w:hint="eastAsia"/>
                      <w:szCs w:val="21"/>
                      <w:lang w:val="en-US" w:eastAsia="zh-CN"/>
                    </w:rPr>
                    <w:t>0.02</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szCs w:val="21"/>
                      <w:lang w:val="en-US" w:eastAsia="zh-CN"/>
                    </w:rPr>
                  </w:pPr>
                  <w:r>
                    <w:rPr>
                      <w:rFonts w:hint="eastAsia"/>
                      <w:szCs w:val="21"/>
                      <w:lang w:val="en-US" w:eastAsia="zh-CN"/>
                    </w:rPr>
                    <w:t>0.022</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szCs w:val="21"/>
                      <w:lang w:val="en-US" w:eastAsia="zh-CN"/>
                    </w:rPr>
                  </w:pPr>
                  <w:r>
                    <w:rPr>
                      <w:rFonts w:hint="eastAsia"/>
                      <w:szCs w:val="21"/>
                      <w:lang w:val="en-US" w:eastAsia="zh-CN"/>
                    </w:rPr>
                    <w:t>0.021</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szCs w:val="21"/>
                      <w:lang w:val="en-US" w:eastAsia="zh-CN"/>
                    </w:rPr>
                  </w:pPr>
                  <w:r>
                    <w:rPr>
                      <w:rFonts w:hint="eastAsia"/>
                      <w:szCs w:val="21"/>
                      <w:lang w:val="en-US" w:eastAsia="zh-CN"/>
                    </w:rPr>
                    <w:t>3</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FQ-03</w:t>
                  </w:r>
                </w:p>
              </w:tc>
              <w:tc>
                <w:tcPr>
                  <w:tcW w:w="562"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11.23</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铬酸雾</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0.05</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0.005</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FQ-04</w:t>
                  </w:r>
                </w:p>
              </w:tc>
              <w:tc>
                <w:tcPr>
                  <w:tcW w:w="562"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5.11</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铬酸雾</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ND</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0.05</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vertAlign w:val="superscript"/>
                      <w:lang w:val="en-US" w:eastAsia="zh-CN"/>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0.005</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FQ-05</w:t>
                  </w:r>
                </w:p>
              </w:tc>
              <w:tc>
                <w:tcPr>
                  <w:tcW w:w="562"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5.11</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颗粒物</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4.7</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3.3</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5.1</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4.4</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20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vertAlign w:val="superscript"/>
                      <w:lang w:val="en-US" w:eastAsia="zh-CN"/>
                    </w:rPr>
                  </w:pPr>
                  <w:r>
                    <w:rPr>
                      <w:rFonts w:hint="eastAsia"/>
                      <w:szCs w:val="21"/>
                      <w:lang w:val="en-US" w:eastAsia="zh-CN"/>
                    </w:rPr>
                    <w:t>3.2×10</w:t>
                  </w:r>
                  <w:r>
                    <w:rPr>
                      <w:rFonts w:hint="eastAsia"/>
                      <w:szCs w:val="21"/>
                      <w:vertAlign w:val="superscript"/>
                      <w:lang w:val="en-US" w:eastAsia="zh-CN"/>
                    </w:rPr>
                    <w:t>-3</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2.1×10</w:t>
                  </w:r>
                  <w:r>
                    <w:rPr>
                      <w:rFonts w:hint="eastAsia"/>
                      <w:szCs w:val="21"/>
                      <w:vertAlign w:val="superscript"/>
                      <w:lang w:val="en-US" w:eastAsia="zh-CN"/>
                    </w:rPr>
                    <w:t>-3</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3.4×10</w:t>
                  </w:r>
                  <w:r>
                    <w:rPr>
                      <w:rFonts w:hint="eastAsia"/>
                      <w:szCs w:val="21"/>
                      <w:vertAlign w:val="superscript"/>
                      <w:lang w:val="en-US" w:eastAsia="zh-CN"/>
                    </w:rPr>
                    <w:t>-3</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2.9×10</w:t>
                  </w:r>
                  <w:r>
                    <w:rPr>
                      <w:rFonts w:hint="eastAsia"/>
                      <w:szCs w:val="21"/>
                      <w:vertAlign w:val="superscript"/>
                      <w:lang w:val="en-US" w:eastAsia="zh-CN"/>
                    </w:rPr>
                    <w:t>-3</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1</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FQ-06</w:t>
                  </w:r>
                </w:p>
              </w:tc>
              <w:tc>
                <w:tcPr>
                  <w:tcW w:w="562"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hint="default"/>
                      <w:szCs w:val="21"/>
                      <w:lang w:val="en-US"/>
                    </w:rPr>
                  </w:pPr>
                  <w:r>
                    <w:rPr>
                      <w:rFonts w:hint="eastAsia"/>
                      <w:b w:val="0"/>
                      <w:bCs w:val="0"/>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颗粒物</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4.6</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4.2</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3.1</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20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0.12</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0.11</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0.077</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1</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szCs w:val="21"/>
                      <w:lang w:val="en-US" w:eastAsia="zh-CN"/>
                    </w:rPr>
                  </w:pPr>
                  <w:r>
                    <w:rPr>
                      <w:rFonts w:hint="eastAsia"/>
                      <w:szCs w:val="21"/>
                      <w:lang w:val="en-US" w:eastAsia="zh-CN"/>
                    </w:rPr>
                    <w:t>氮氧化物</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100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0.47</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szCs w:val="21"/>
                      <w:lang w:val="en-US" w:eastAsia="zh-CN"/>
                    </w:rPr>
                  </w:pPr>
                  <w:r>
                    <w:rPr>
                      <w:rFonts w:hint="eastAsia"/>
                      <w:szCs w:val="21"/>
                      <w:lang w:val="en-US" w:eastAsia="zh-CN"/>
                    </w:rPr>
                    <w:t>二氧化硫</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200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1.4</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szCs w:val="21"/>
                      <w:lang w:val="en-US" w:eastAsia="zh-CN"/>
                    </w:rPr>
                  </w:pPr>
                  <w:r>
                    <w:rPr>
                      <w:rFonts w:hint="eastAsia"/>
                      <w:szCs w:val="21"/>
                      <w:lang w:val="en-US" w:eastAsia="zh-CN"/>
                    </w:rPr>
                    <w:t>油烟</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312"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0.1</w:t>
                  </w:r>
                </w:p>
              </w:tc>
              <w:tc>
                <w:tcPr>
                  <w:tcW w:w="31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0.1</w:t>
                  </w:r>
                </w:p>
              </w:tc>
              <w:tc>
                <w:tcPr>
                  <w:tcW w:w="312"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0.2</w:t>
                  </w:r>
                </w:p>
              </w:tc>
              <w:tc>
                <w:tcPr>
                  <w:tcW w:w="31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0.1</w:t>
                  </w:r>
                </w:p>
              </w:tc>
              <w:tc>
                <w:tcPr>
                  <w:tcW w:w="315"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0.1</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2.0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szCs w:val="21"/>
                      <w:lang w:val="en-US" w:eastAsia="zh-CN"/>
                    </w:rPr>
                  </w:pPr>
                  <w:r>
                    <w:rPr>
                      <w:rFonts w:hint="eastAsia"/>
                      <w:szCs w:val="21"/>
                      <w:lang w:val="en-US" w:eastAsia="zh-CN"/>
                    </w:rPr>
                    <w:t>FQ-07</w:t>
                  </w:r>
                </w:p>
              </w:tc>
              <w:tc>
                <w:tcPr>
                  <w:tcW w:w="562"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颗粒物</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1.3</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0.43</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20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0.018</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0.006</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1</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0.56</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0.56</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0.61</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0.58</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b w:val="0"/>
                      <w:bCs w:val="0"/>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default"/>
                      <w:szCs w:val="21"/>
                      <w:vertAlign w:val="superscript"/>
                      <w:lang w:val="en-US" w:eastAsia="zh-CN"/>
                    </w:rPr>
                  </w:pPr>
                  <w:r>
                    <w:rPr>
                      <w:rFonts w:hint="eastAsia"/>
                      <w:szCs w:val="21"/>
                      <w:lang w:val="en-US" w:eastAsia="zh-CN"/>
                    </w:rPr>
                    <w:t>7.6×10</w:t>
                  </w:r>
                  <w:r>
                    <w:rPr>
                      <w:rFonts w:hint="eastAsia"/>
                      <w:szCs w:val="21"/>
                      <w:vertAlign w:val="superscript"/>
                      <w:lang w:val="en-US" w:eastAsia="zh-CN"/>
                    </w:rPr>
                    <w:t>-3</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7.6×10</w:t>
                  </w:r>
                  <w:r>
                    <w:rPr>
                      <w:rFonts w:hint="eastAsia"/>
                      <w:szCs w:val="21"/>
                      <w:vertAlign w:val="superscript"/>
                      <w:lang w:val="en-US" w:eastAsia="zh-CN"/>
                    </w:rPr>
                    <w:t>-3</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8.3×10</w:t>
                  </w:r>
                  <w:r>
                    <w:rPr>
                      <w:rFonts w:hint="eastAsia"/>
                      <w:szCs w:val="21"/>
                      <w:vertAlign w:val="superscript"/>
                      <w:lang w:val="en-US" w:eastAsia="zh-CN"/>
                    </w:rPr>
                    <w:t>-3</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7.8×10</w:t>
                  </w:r>
                  <w:r>
                    <w:rPr>
                      <w:rFonts w:hint="eastAsia"/>
                      <w:szCs w:val="21"/>
                      <w:vertAlign w:val="superscript"/>
                      <w:lang w:val="en-US" w:eastAsia="zh-CN"/>
                    </w:rPr>
                    <w:t>-3</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3</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FQ-08</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szCs w:val="21"/>
                      <w:lang w:val="en-US" w:eastAsia="zh-CN"/>
                    </w:rPr>
                  </w:pPr>
                  <w:r>
                    <w:rPr>
                      <w:rFonts w:hint="eastAsia"/>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b w:val="0"/>
                      <w:bCs w:val="0"/>
                      <w:szCs w:val="21"/>
                      <w:lang w:val="en-US" w:eastAsia="zh-CN"/>
                    </w:rPr>
                    <w:t>颗粒物</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ascii="Times New Roman" w:hAnsi="Times New Roman" w:eastAsia="宋体" w:cs="Times New Roman"/>
                      <w:kern w:val="2"/>
                      <w:sz w:val="21"/>
                      <w:szCs w:val="21"/>
                      <w:lang w:val="en-US" w:eastAsia="zh-CN" w:bidi="ar-SA"/>
                    </w:rPr>
                  </w:pPr>
                  <w:r>
                    <w:rPr>
                      <w:rFonts w:hint="eastAsia"/>
                      <w:szCs w:val="21"/>
                      <w:lang w:val="en-US" w:eastAsia="zh-CN"/>
                    </w:rPr>
                    <w:t>氮氧化物</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100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0.47</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ascii="Times New Roman" w:hAnsi="Times New Roman" w:eastAsia="宋体" w:cs="Times New Roman"/>
                      <w:kern w:val="2"/>
                      <w:sz w:val="21"/>
                      <w:szCs w:val="21"/>
                      <w:lang w:val="en-US" w:eastAsia="zh-CN" w:bidi="ar-SA"/>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0.72</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0.71</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0.73</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0.72</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b w:val="0"/>
                      <w:bCs w:val="0"/>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eastAsia" w:ascii="Times New Roman" w:hAnsi="Times New Roman" w:eastAsia="宋体" w:cs="Times New Roman"/>
                      <w:kern w:val="2"/>
                      <w:sz w:val="21"/>
                      <w:szCs w:val="21"/>
                      <w:vertAlign w:val="superscript"/>
                      <w:lang w:val="en-US" w:eastAsia="zh-CN" w:bidi="ar-SA"/>
                    </w:rPr>
                  </w:pPr>
                  <w:r>
                    <w:rPr>
                      <w:rFonts w:hint="eastAsia"/>
                      <w:szCs w:val="21"/>
                      <w:lang w:val="en-US" w:eastAsia="zh-CN"/>
                    </w:rPr>
                    <w:t>9.0×10</w:t>
                  </w:r>
                  <w:r>
                    <w:rPr>
                      <w:rFonts w:hint="eastAsia"/>
                      <w:szCs w:val="21"/>
                      <w:vertAlign w:val="superscript"/>
                      <w:lang w:val="en-US" w:eastAsia="zh-CN"/>
                    </w:rPr>
                    <w:t>-3</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8.8×10</w:t>
                  </w:r>
                  <w:r>
                    <w:rPr>
                      <w:rFonts w:hint="eastAsia"/>
                      <w:szCs w:val="21"/>
                      <w:vertAlign w:val="superscript"/>
                      <w:lang w:val="en-US" w:eastAsia="zh-CN"/>
                    </w:rPr>
                    <w:t>-3</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9.1×10</w:t>
                  </w:r>
                  <w:r>
                    <w:rPr>
                      <w:rFonts w:hint="eastAsia"/>
                      <w:szCs w:val="21"/>
                      <w:vertAlign w:val="superscript"/>
                      <w:lang w:val="en-US" w:eastAsia="zh-CN"/>
                    </w:rPr>
                    <w:t>-3</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9.0×10</w:t>
                  </w:r>
                  <w:r>
                    <w:rPr>
                      <w:rFonts w:hint="eastAsia"/>
                      <w:szCs w:val="21"/>
                      <w:vertAlign w:val="superscript"/>
                      <w:lang w:val="en-US" w:eastAsia="zh-CN"/>
                    </w:rPr>
                    <w:t>-3</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FQ-09</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szCs w:val="21"/>
                      <w:lang w:val="en-US" w:eastAsia="zh-CN"/>
                    </w:rPr>
                  </w:pPr>
                  <w:r>
                    <w:rPr>
                      <w:rFonts w:hint="eastAsia"/>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b w:val="0"/>
                      <w:bCs w:val="0"/>
                      <w:szCs w:val="21"/>
                      <w:lang w:val="en-US" w:eastAsia="zh-CN"/>
                    </w:rPr>
                    <w:t>颗粒物</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1.2</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0.4</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0.029</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0.009</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ascii="Times New Roman" w:hAnsi="Times New Roman" w:eastAsia="宋体" w:cs="Times New Roman"/>
                      <w:kern w:val="2"/>
                      <w:sz w:val="21"/>
                      <w:szCs w:val="21"/>
                      <w:lang w:val="en-US" w:eastAsia="zh-CN" w:bidi="ar-SA"/>
                    </w:rPr>
                  </w:pPr>
                  <w:r>
                    <w:rPr>
                      <w:rFonts w:hint="eastAsia"/>
                      <w:szCs w:val="21"/>
                      <w:lang w:val="en-US" w:eastAsia="zh-CN"/>
                    </w:rPr>
                    <w:t>氮氧化物</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ND</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100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0.47</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ascii="Times New Roman" w:hAnsi="Times New Roman" w:eastAsia="宋体" w:cs="Times New Roman"/>
                      <w:kern w:val="2"/>
                      <w:sz w:val="21"/>
                      <w:szCs w:val="21"/>
                      <w:lang w:val="en-US" w:eastAsia="zh-CN" w:bidi="ar-SA"/>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0.94</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1.02</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1.02</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0.99</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b w:val="0"/>
                      <w:bCs w:val="0"/>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eastAsia" w:ascii="Times New Roman" w:hAnsi="Times New Roman" w:eastAsia="宋体" w:cs="Times New Roman"/>
                      <w:kern w:val="2"/>
                      <w:sz w:val="21"/>
                      <w:szCs w:val="21"/>
                      <w:vertAlign w:val="superscript"/>
                      <w:lang w:val="en-US" w:eastAsia="zh-CN" w:bidi="ar-SA"/>
                    </w:rPr>
                  </w:pPr>
                  <w:r>
                    <w:rPr>
                      <w:rFonts w:hint="eastAsia"/>
                      <w:szCs w:val="21"/>
                      <w:lang w:val="en-US" w:eastAsia="zh-CN"/>
                    </w:rPr>
                    <w:t>0.023</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0.025</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0.025</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0.024</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FQ-10</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szCs w:val="21"/>
                      <w:lang w:val="en-US" w:eastAsia="zh-CN"/>
                    </w:rPr>
                  </w:pPr>
                  <w:r>
                    <w:rPr>
                      <w:rFonts w:hint="eastAsia"/>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rFonts w:ascii="Times New Roman" w:hAnsi="Times New Roman" w:eastAsia="宋体" w:cs="Times New Roman"/>
                      <w:kern w:val="2"/>
                      <w:sz w:val="21"/>
                      <w:szCs w:val="21"/>
                      <w:lang w:val="en-US" w:eastAsia="zh-CN" w:bidi="ar-SA"/>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jc w:val="center"/>
                    <w:textAlignment w:val="center"/>
                    <w:rPr>
                      <w:rFonts w:hint="default"/>
                      <w:szCs w:val="21"/>
                      <w:lang w:val="en-US" w:eastAsia="zh-CN"/>
                    </w:rPr>
                  </w:pPr>
                  <w:r>
                    <w:rPr>
                      <w:rFonts w:hint="eastAsia"/>
                      <w:szCs w:val="21"/>
                      <w:lang w:val="en-US" w:eastAsia="zh-CN"/>
                    </w:rPr>
                    <w:t>0.71</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0.74</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0.73</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0.73</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rFonts w:ascii="Times New Roman" w:hAnsi="Times New Roman" w:eastAsia="宋体" w:cs="Times New Roman"/>
                      <w:b w:val="0"/>
                      <w:bCs w:val="0"/>
                      <w:kern w:val="2"/>
                      <w:sz w:val="21"/>
                      <w:szCs w:val="21"/>
                      <w:lang w:val="en-US" w:eastAsia="zh-CN" w:bidi="ar-SA"/>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default"/>
                      <w:szCs w:val="21"/>
                      <w:lang w:val="en-US" w:eastAsia="zh-CN"/>
                    </w:rPr>
                  </w:pPr>
                  <w:r>
                    <w:rPr>
                      <w:rFonts w:hint="eastAsia"/>
                      <w:szCs w:val="21"/>
                      <w:lang w:val="en-US" w:eastAsia="zh-CN"/>
                    </w:rPr>
                    <w:t>0.013</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0.015</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0.014</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0.014</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3</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FQ-11</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szCs w:val="21"/>
                      <w:lang w:val="en-US" w:eastAsia="zh-CN"/>
                    </w:rPr>
                  </w:pPr>
                  <w:r>
                    <w:rPr>
                      <w:rFonts w:hint="eastAsia"/>
                      <w:szCs w:val="21"/>
                      <w:lang w:val="en-US" w:eastAsia="zh-CN"/>
                    </w:rPr>
                    <w:t>5.11</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颗粒物</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20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1</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FQ-12</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szCs w:val="21"/>
                      <w:lang w:val="en-US" w:eastAsia="zh-CN"/>
                    </w:rPr>
                  </w:pPr>
                  <w:r>
                    <w:rPr>
                      <w:rFonts w:hint="eastAsia"/>
                      <w:szCs w:val="21"/>
                      <w:lang w:val="en-US" w:eastAsia="zh-CN"/>
                    </w:rPr>
                    <w:t>5.11</w:t>
                  </w:r>
                </w:p>
              </w:tc>
              <w:tc>
                <w:tcPr>
                  <w:tcW w:w="477"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szCs w:val="21"/>
                      <w:lang w:val="en-US" w:eastAsia="zh-CN"/>
                    </w:rPr>
                  </w:pPr>
                  <w:r>
                    <w:rPr>
                      <w:rFonts w:hint="eastAsia"/>
                      <w:szCs w:val="21"/>
                      <w:lang w:val="en-US" w:eastAsia="zh-CN"/>
                    </w:rPr>
                    <w:t>铬酸雾</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0.05</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0.005</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FQ-13</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szCs w:val="21"/>
                      <w:lang w:val="en-US" w:eastAsia="zh-CN"/>
                    </w:rPr>
                  </w:pPr>
                  <w:r>
                    <w:rPr>
                      <w:rFonts w:hint="eastAsia"/>
                      <w:szCs w:val="21"/>
                      <w:lang w:val="en-US" w:eastAsia="zh-CN"/>
                    </w:rPr>
                    <w:t>5.11</w:t>
                  </w:r>
                </w:p>
              </w:tc>
              <w:tc>
                <w:tcPr>
                  <w:tcW w:w="477"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r>
                    <w:rPr>
                      <w:rFonts w:hint="eastAsia"/>
                      <w:szCs w:val="21"/>
                      <w:lang w:val="en-US" w:eastAsia="zh-CN"/>
                    </w:rPr>
                    <w:t>铬酸雾</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0.05</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0.005</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eastAsia="宋体"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FQ-21</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r>
                    <w:rPr>
                      <w:rFonts w:hint="eastAsia"/>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0.88</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0.87</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0.90</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0.88</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2.6×10</w:t>
                  </w:r>
                  <w:r>
                    <w:rPr>
                      <w:rFonts w:hint="eastAsia"/>
                      <w:szCs w:val="21"/>
                      <w:vertAlign w:val="superscript"/>
                      <w:lang w:val="en-US" w:eastAsia="zh-CN"/>
                    </w:rPr>
                    <w:t>-3</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2.5×10</w:t>
                  </w:r>
                  <w:r>
                    <w:rPr>
                      <w:rFonts w:hint="eastAsia"/>
                      <w:szCs w:val="21"/>
                      <w:vertAlign w:val="superscript"/>
                      <w:lang w:val="en-US" w:eastAsia="zh-CN"/>
                    </w:rPr>
                    <w:t>-3</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2.6×10</w:t>
                  </w:r>
                  <w:r>
                    <w:rPr>
                      <w:rFonts w:hint="eastAsia"/>
                      <w:szCs w:val="21"/>
                      <w:vertAlign w:val="superscript"/>
                      <w:lang w:val="en-US" w:eastAsia="zh-CN"/>
                    </w:rPr>
                    <w:t>-3</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2.6×10</w:t>
                  </w:r>
                  <w:r>
                    <w:rPr>
                      <w:rFonts w:hint="eastAsia"/>
                      <w:szCs w:val="21"/>
                      <w:vertAlign w:val="superscript"/>
                      <w:lang w:val="en-US" w:eastAsia="zh-CN"/>
                    </w:rPr>
                    <w:t>-3</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3</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FQ-31</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r>
                    <w:rPr>
                      <w:rFonts w:hint="eastAsia"/>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0.92</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0.92</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0.96</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0.93</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0.014</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0.014</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0.014</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0.014</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3</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FQ-32</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r>
                    <w:rPr>
                      <w:rFonts w:hint="eastAsia"/>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颗粒物</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20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1</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FQ-33</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r>
                    <w:rPr>
                      <w:rFonts w:hint="eastAsia"/>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0.75</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0.65</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0.64</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0.68</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1.6×10</w:t>
                  </w:r>
                  <w:r>
                    <w:rPr>
                      <w:rFonts w:hint="eastAsia"/>
                      <w:szCs w:val="21"/>
                      <w:vertAlign w:val="superscript"/>
                      <w:lang w:val="en-US" w:eastAsia="zh-CN"/>
                    </w:rPr>
                    <w:t>-3</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1.2×10</w:t>
                  </w:r>
                  <w:r>
                    <w:rPr>
                      <w:rFonts w:hint="eastAsia"/>
                      <w:szCs w:val="21"/>
                      <w:vertAlign w:val="superscript"/>
                      <w:lang w:val="en-US" w:eastAsia="zh-CN"/>
                    </w:rPr>
                    <w:t>-3</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1.1×10</w:t>
                  </w:r>
                  <w:r>
                    <w:rPr>
                      <w:rFonts w:hint="eastAsia"/>
                      <w:szCs w:val="21"/>
                      <w:vertAlign w:val="superscript"/>
                      <w:lang w:val="en-US" w:eastAsia="zh-CN"/>
                    </w:rPr>
                    <w:t>-3</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1.3×10</w:t>
                  </w:r>
                  <w:r>
                    <w:rPr>
                      <w:rFonts w:hint="eastAsia"/>
                      <w:szCs w:val="21"/>
                      <w:vertAlign w:val="superscript"/>
                      <w:lang w:val="en-US" w:eastAsia="zh-CN"/>
                    </w:rPr>
                    <w:t>-3</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3</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FQ-34</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r>
                    <w:rPr>
                      <w:rFonts w:hint="eastAsia"/>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0.38</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0.36</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0.45</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0.40</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6.6×10</w:t>
                  </w:r>
                  <w:r>
                    <w:rPr>
                      <w:rFonts w:hint="eastAsia"/>
                      <w:szCs w:val="21"/>
                      <w:vertAlign w:val="superscript"/>
                      <w:lang w:val="en-US" w:eastAsia="zh-CN"/>
                    </w:rPr>
                    <w:t>-4</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7.2×10</w:t>
                  </w:r>
                  <w:r>
                    <w:rPr>
                      <w:rFonts w:hint="eastAsia"/>
                      <w:szCs w:val="21"/>
                      <w:vertAlign w:val="superscript"/>
                      <w:lang w:val="en-US" w:eastAsia="zh-CN"/>
                    </w:rPr>
                    <w:t>-4</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8.9×10</w:t>
                  </w:r>
                  <w:r>
                    <w:rPr>
                      <w:rFonts w:hint="eastAsia"/>
                      <w:szCs w:val="21"/>
                      <w:vertAlign w:val="superscript"/>
                      <w:lang w:val="en-US" w:eastAsia="zh-CN"/>
                    </w:rPr>
                    <w:t>-4</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7.6×10</w:t>
                  </w:r>
                  <w:r>
                    <w:rPr>
                      <w:rFonts w:hint="eastAsia"/>
                      <w:szCs w:val="21"/>
                      <w:vertAlign w:val="superscript"/>
                      <w:lang w:val="en-US" w:eastAsia="zh-CN"/>
                    </w:rPr>
                    <w:t>-4</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3</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FQ-35</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r>
                    <w:rPr>
                      <w:rFonts w:hint="eastAsia"/>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0.47</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0.50</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0.48</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0.48</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7.1×10</w:t>
                  </w:r>
                  <w:r>
                    <w:rPr>
                      <w:rFonts w:hint="eastAsia"/>
                      <w:szCs w:val="21"/>
                      <w:vertAlign w:val="superscript"/>
                      <w:lang w:val="en-US" w:eastAsia="zh-CN"/>
                    </w:rPr>
                    <w:t>-4</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7.4×10</w:t>
                  </w:r>
                  <w:r>
                    <w:rPr>
                      <w:rFonts w:hint="eastAsia"/>
                      <w:szCs w:val="21"/>
                      <w:vertAlign w:val="superscript"/>
                      <w:lang w:val="en-US" w:eastAsia="zh-CN"/>
                    </w:rPr>
                    <w:t>-4</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7.3×10</w:t>
                  </w:r>
                  <w:r>
                    <w:rPr>
                      <w:rFonts w:hint="eastAsia"/>
                      <w:szCs w:val="21"/>
                      <w:vertAlign w:val="superscript"/>
                      <w:lang w:val="en-US" w:eastAsia="zh-CN"/>
                    </w:rPr>
                    <w:t>-4</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7.3×10</w:t>
                  </w:r>
                  <w:r>
                    <w:rPr>
                      <w:rFonts w:hint="eastAsia"/>
                      <w:szCs w:val="21"/>
                      <w:vertAlign w:val="superscript"/>
                      <w:lang w:val="en-US" w:eastAsia="zh-CN"/>
                    </w:rPr>
                    <w:t>-4</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3</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FQ-36</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r>
                    <w:rPr>
                      <w:rFonts w:hint="eastAsia"/>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0.49</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0.73</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0.78</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0.67</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1.2×10</w:t>
                  </w:r>
                  <w:r>
                    <w:rPr>
                      <w:rFonts w:hint="eastAsia"/>
                      <w:szCs w:val="21"/>
                      <w:vertAlign w:val="superscript"/>
                      <w:lang w:val="en-US" w:eastAsia="zh-CN"/>
                    </w:rPr>
                    <w:t>-3</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1.9×10</w:t>
                  </w:r>
                  <w:r>
                    <w:rPr>
                      <w:rFonts w:hint="eastAsia"/>
                      <w:szCs w:val="21"/>
                      <w:vertAlign w:val="superscript"/>
                      <w:lang w:val="en-US" w:eastAsia="zh-CN"/>
                    </w:rPr>
                    <w:t>-3</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2.0×10</w:t>
                  </w:r>
                  <w:r>
                    <w:rPr>
                      <w:rFonts w:hint="eastAsia"/>
                      <w:szCs w:val="21"/>
                      <w:vertAlign w:val="superscript"/>
                      <w:lang w:val="en-US" w:eastAsia="zh-CN"/>
                    </w:rPr>
                    <w:t>-3</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1.7×10</w:t>
                  </w:r>
                  <w:r>
                    <w:rPr>
                      <w:rFonts w:hint="eastAsia"/>
                      <w:szCs w:val="21"/>
                      <w:vertAlign w:val="superscript"/>
                      <w:lang w:val="en-US" w:eastAsia="zh-CN"/>
                    </w:rPr>
                    <w:t>-3</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3</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FQ-41</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r>
                    <w:rPr>
                      <w:rFonts w:hint="eastAsia"/>
                      <w:szCs w:val="21"/>
                      <w:lang w:val="en-US" w:eastAsia="zh-CN"/>
                    </w:rPr>
                    <w:t>5.10</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硫化氢</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0.01</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0.01</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0.01</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5</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3.0×10</w:t>
                  </w:r>
                  <w:r>
                    <w:rPr>
                      <w:rFonts w:hint="eastAsia"/>
                      <w:szCs w:val="21"/>
                      <w:vertAlign w:val="superscript"/>
                      <w:lang w:val="en-US" w:eastAsia="zh-CN"/>
                    </w:rPr>
                    <w:t>-5</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2.9×10</w:t>
                  </w:r>
                  <w:r>
                    <w:rPr>
                      <w:rFonts w:hint="eastAsia"/>
                      <w:szCs w:val="21"/>
                      <w:vertAlign w:val="superscript"/>
                      <w:lang w:val="en-US" w:eastAsia="zh-CN"/>
                    </w:rPr>
                    <w:t>-5</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1.96×10</w:t>
                  </w:r>
                  <w:r>
                    <w:rPr>
                      <w:rFonts w:hint="eastAsia"/>
                      <w:szCs w:val="21"/>
                      <w:vertAlign w:val="superscript"/>
                      <w:lang w:val="en-US" w:eastAsia="zh-CN"/>
                    </w:rPr>
                    <w:t>-5</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0.1</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szCs w:val="21"/>
                      <w:lang w:val="en-US" w:eastAsia="zh-CN"/>
                    </w:rPr>
                  </w:pPr>
                  <w:r>
                    <w:rPr>
                      <w:rFonts w:hint="eastAsia"/>
                      <w:szCs w:val="21"/>
                      <w:lang w:val="en-US" w:eastAsia="zh-CN"/>
                    </w:rPr>
                    <w:t>氨</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jc w:val="center"/>
                    <w:textAlignment w:val="center"/>
                    <w:rPr>
                      <w:rFonts w:hint="default"/>
                      <w:szCs w:val="21"/>
                      <w:lang w:val="en-US" w:eastAsia="zh-CN"/>
                    </w:rPr>
                  </w:pPr>
                  <w:r>
                    <w:rPr>
                      <w:rFonts w:hint="eastAsia"/>
                      <w:szCs w:val="21"/>
                      <w:lang w:val="en-US" w:eastAsia="zh-CN"/>
                    </w:rPr>
                    <w:t>0.35</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0.42</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0.36</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0.38</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30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default"/>
                      <w:szCs w:val="21"/>
                      <w:vertAlign w:val="superscript"/>
                      <w:lang w:val="en-US" w:eastAsia="zh-CN"/>
                    </w:rPr>
                  </w:pPr>
                  <w:r>
                    <w:rPr>
                      <w:rFonts w:hint="eastAsia"/>
                      <w:szCs w:val="21"/>
                      <w:lang w:val="en-US" w:eastAsia="zh-CN"/>
                    </w:rPr>
                    <w:t>1.1×10</w:t>
                  </w:r>
                  <w:r>
                    <w:rPr>
                      <w:rFonts w:hint="eastAsia"/>
                      <w:szCs w:val="21"/>
                      <w:vertAlign w:val="superscript"/>
                      <w:lang w:val="en-US" w:eastAsia="zh-CN"/>
                    </w:rPr>
                    <w:t>-3</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1.3×10</w:t>
                  </w:r>
                  <w:r>
                    <w:rPr>
                      <w:rFonts w:hint="eastAsia"/>
                      <w:szCs w:val="21"/>
                      <w:vertAlign w:val="superscript"/>
                      <w:lang w:val="en-US" w:eastAsia="zh-CN"/>
                    </w:rPr>
                    <w:t>-3</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1.0×10</w:t>
                  </w:r>
                  <w:r>
                    <w:rPr>
                      <w:rFonts w:hint="eastAsia"/>
                      <w:szCs w:val="21"/>
                      <w:vertAlign w:val="superscript"/>
                      <w:lang w:val="en-US" w:eastAsia="zh-CN"/>
                    </w:rPr>
                    <w:t>-3</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1.1×10</w:t>
                  </w:r>
                  <w:r>
                    <w:rPr>
                      <w:rFonts w:hint="eastAsia"/>
                      <w:szCs w:val="21"/>
                      <w:vertAlign w:val="superscript"/>
                      <w:lang w:val="en-US" w:eastAsia="zh-CN"/>
                    </w:rPr>
                    <w:t>-3</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1</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0.82</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0.86</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0.97</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0.88</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2.5×10</w:t>
                  </w:r>
                  <w:r>
                    <w:rPr>
                      <w:rFonts w:hint="eastAsia"/>
                      <w:szCs w:val="21"/>
                      <w:vertAlign w:val="superscript"/>
                      <w:lang w:val="en-US" w:eastAsia="zh-CN"/>
                    </w:rPr>
                    <w:t>-3</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2.6×10</w:t>
                  </w:r>
                  <w:r>
                    <w:rPr>
                      <w:rFonts w:hint="eastAsia"/>
                      <w:szCs w:val="21"/>
                      <w:vertAlign w:val="superscript"/>
                      <w:lang w:val="en-US" w:eastAsia="zh-CN"/>
                    </w:rPr>
                    <w:t>-3</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2.9×10</w:t>
                  </w:r>
                  <w:r>
                    <w:rPr>
                      <w:rFonts w:hint="eastAsia"/>
                      <w:szCs w:val="21"/>
                      <w:vertAlign w:val="superscript"/>
                      <w:lang w:val="en-US" w:eastAsia="zh-CN"/>
                    </w:rPr>
                    <w:t>-3</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2.7×10</w:t>
                  </w:r>
                  <w:r>
                    <w:rPr>
                      <w:rFonts w:hint="eastAsia"/>
                      <w:szCs w:val="21"/>
                      <w:vertAlign w:val="superscript"/>
                      <w:lang w:val="en-US" w:eastAsia="zh-CN"/>
                    </w:rPr>
                    <w:t>-3</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3</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szCs w:val="21"/>
                      <w:lang w:val="en-US" w:eastAsia="zh-CN"/>
                    </w:rPr>
                  </w:pPr>
                  <w:r>
                    <w:rPr>
                      <w:rFonts w:hint="eastAsia"/>
                      <w:szCs w:val="21"/>
                      <w:lang w:val="en-US" w:eastAsia="zh-CN"/>
                    </w:rPr>
                    <w:t>FQ-42</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eastAsia="宋体"/>
                      <w:szCs w:val="21"/>
                      <w:lang w:val="en-US" w:eastAsia="zh-CN"/>
                    </w:rPr>
                  </w:pPr>
                  <w:r>
                    <w:rPr>
                      <w:rFonts w:hint="eastAsia"/>
                      <w:szCs w:val="21"/>
                      <w:lang w:val="en-US" w:eastAsia="zh-CN"/>
                    </w:rPr>
                    <w:t>5.10-5.11</w:t>
                  </w:r>
                </w:p>
              </w:tc>
              <w:tc>
                <w:tcPr>
                  <w:tcW w:w="477"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r>
                    <w:rPr>
                      <w:rFonts w:hint="eastAsia"/>
                      <w:szCs w:val="21"/>
                      <w:lang w:val="en-US" w:eastAsia="zh-CN"/>
                    </w:rPr>
                    <w:t>氨</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0.43</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0.46</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0.46</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0.45</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30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4.5×10</w:t>
                  </w:r>
                  <w:r>
                    <w:rPr>
                      <w:rFonts w:hint="eastAsia"/>
                      <w:szCs w:val="21"/>
                      <w:vertAlign w:val="superscript"/>
                      <w:lang w:val="en-US" w:eastAsia="zh-CN"/>
                    </w:rPr>
                    <w:t>-4</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4.8×10</w:t>
                  </w:r>
                  <w:r>
                    <w:rPr>
                      <w:rFonts w:hint="eastAsia"/>
                      <w:szCs w:val="21"/>
                      <w:vertAlign w:val="superscript"/>
                      <w:lang w:val="en-US" w:eastAsia="zh-CN"/>
                    </w:rPr>
                    <w:t>-4</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4.8×10</w:t>
                  </w:r>
                  <w:r>
                    <w:rPr>
                      <w:rFonts w:hint="eastAsia"/>
                      <w:szCs w:val="21"/>
                      <w:vertAlign w:val="superscript"/>
                      <w:lang w:val="en-US" w:eastAsia="zh-CN"/>
                    </w:rPr>
                    <w:t>-4</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4.7×10</w:t>
                  </w:r>
                  <w:r>
                    <w:rPr>
                      <w:rFonts w:hint="eastAsia"/>
                      <w:szCs w:val="21"/>
                      <w:vertAlign w:val="superscript"/>
                      <w:lang w:val="en-US" w:eastAsia="zh-CN"/>
                    </w:rPr>
                    <w:t>-4</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1</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非甲烷总烃</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0.93</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0.79</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0.80</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0.84</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60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jc w:val="center"/>
                    <w:textAlignment w:val="center"/>
                    <w:rPr>
                      <w:rFonts w:hint="eastAsia"/>
                      <w:szCs w:val="21"/>
                      <w:lang w:val="en-US" w:eastAsia="zh-CN"/>
                    </w:rPr>
                  </w:pPr>
                  <w:r>
                    <w:rPr>
                      <w:rFonts w:hint="eastAsia"/>
                      <w:szCs w:val="21"/>
                      <w:lang w:val="en-US" w:eastAsia="zh-CN"/>
                    </w:rPr>
                    <w:t>9.8×10</w:t>
                  </w:r>
                  <w:r>
                    <w:rPr>
                      <w:rFonts w:hint="eastAsia"/>
                      <w:szCs w:val="21"/>
                      <w:vertAlign w:val="superscript"/>
                      <w:lang w:val="en-US" w:eastAsia="zh-CN"/>
                    </w:rPr>
                    <w:t>-4</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8.3×10</w:t>
                  </w:r>
                  <w:r>
                    <w:rPr>
                      <w:rFonts w:hint="eastAsia"/>
                      <w:szCs w:val="21"/>
                      <w:vertAlign w:val="superscript"/>
                      <w:lang w:val="en-US" w:eastAsia="zh-CN"/>
                    </w:rPr>
                    <w:t>-4</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8.4×10</w:t>
                  </w:r>
                  <w:r>
                    <w:rPr>
                      <w:rFonts w:hint="eastAsia"/>
                      <w:szCs w:val="21"/>
                      <w:vertAlign w:val="superscript"/>
                      <w:lang w:val="en-US" w:eastAsia="zh-CN"/>
                    </w:rPr>
                    <w:t>-4</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8.8×10</w:t>
                  </w:r>
                  <w:r>
                    <w:rPr>
                      <w:rFonts w:hint="eastAsia"/>
                      <w:szCs w:val="21"/>
                      <w:vertAlign w:val="superscript"/>
                      <w:lang w:val="en-US" w:eastAsia="zh-CN"/>
                    </w:rPr>
                    <w:t>-4</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3</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颗粒物</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20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1</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FQ-43</w:t>
                  </w:r>
                </w:p>
              </w:tc>
              <w:tc>
                <w:tcPr>
                  <w:tcW w:w="562" w:type="pct"/>
                  <w:vMerge w:val="restart"/>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r>
                    <w:rPr>
                      <w:rFonts w:hint="eastAsia"/>
                      <w:szCs w:val="21"/>
                      <w:lang w:val="en-US" w:eastAsia="zh-CN"/>
                    </w:rPr>
                    <w:t>5.11</w:t>
                  </w:r>
                </w:p>
              </w:tc>
              <w:tc>
                <w:tcPr>
                  <w:tcW w:w="477" w:type="pct"/>
                  <w:vMerge w:val="restart"/>
                  <w:noWrap w:val="0"/>
                  <w:tcMar>
                    <w:top w:w="0" w:type="dxa"/>
                    <w:left w:w="0" w:type="dxa"/>
                    <w:bottom w:w="0" w:type="dxa"/>
                    <w:right w:w="0" w:type="dxa"/>
                  </w:tcMar>
                  <w:vAlign w:val="center"/>
                </w:tcPr>
                <w:p>
                  <w:pPr>
                    <w:widowControl/>
                    <w:adjustRightInd w:val="0"/>
                    <w:snapToGrid w:val="0"/>
                    <w:spacing w:line="240" w:lineRule="auto"/>
                    <w:jc w:val="center"/>
                    <w:rPr>
                      <w:szCs w:val="21"/>
                    </w:rPr>
                  </w:pPr>
                  <w:r>
                    <w:rPr>
                      <w:rFonts w:hint="eastAsia"/>
                      <w:b w:val="0"/>
                      <w:bCs w:val="0"/>
                      <w:szCs w:val="21"/>
                      <w:lang w:val="en-US" w:eastAsia="zh-CN"/>
                    </w:rPr>
                    <w:t>颗粒物</w:t>
                  </w: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排放浓度</w:t>
                  </w:r>
                </w:p>
                <w:p>
                  <w:pPr>
                    <w:widowControl/>
                    <w:adjustRightInd w:val="0"/>
                    <w:snapToGrid w:val="0"/>
                    <w:spacing w:line="240" w:lineRule="auto"/>
                    <w:jc w:val="center"/>
                    <w:rPr>
                      <w:b w:val="0"/>
                      <w:bCs w:val="0"/>
                      <w:szCs w:val="21"/>
                    </w:rPr>
                  </w:pPr>
                  <w:r>
                    <w:rPr>
                      <w:b w:val="0"/>
                      <w:bCs w:val="0"/>
                      <w:szCs w:val="21"/>
                    </w:rPr>
                    <w:t>（mg/m</w:t>
                  </w:r>
                  <w:r>
                    <w:rPr>
                      <w:b w:val="0"/>
                      <w:bCs w:val="0"/>
                      <w:szCs w:val="21"/>
                      <w:vertAlign w:val="superscript"/>
                    </w:rPr>
                    <w:t>3</w:t>
                  </w:r>
                  <w:r>
                    <w:rPr>
                      <w:b w:val="0"/>
                      <w:bCs w:val="0"/>
                      <w:szCs w:val="21"/>
                    </w:rPr>
                    <w:t>）</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ND</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20</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21"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p>
              </w:tc>
              <w:tc>
                <w:tcPr>
                  <w:tcW w:w="562"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477" w:type="pct"/>
                  <w:vMerge w:val="continue"/>
                  <w:noWrap w:val="0"/>
                  <w:tcMar>
                    <w:top w:w="0" w:type="dxa"/>
                    <w:left w:w="0" w:type="dxa"/>
                    <w:bottom w:w="0" w:type="dxa"/>
                    <w:right w:w="0" w:type="dxa"/>
                  </w:tcMar>
                  <w:vAlign w:val="center"/>
                </w:tcPr>
                <w:p>
                  <w:pPr>
                    <w:keepNext w:val="0"/>
                    <w:keepLines w:val="0"/>
                    <w:widowControl/>
                    <w:suppressLineNumbers w:val="0"/>
                    <w:jc w:val="center"/>
                    <w:textAlignment w:val="center"/>
                    <w:rPr>
                      <w:szCs w:val="21"/>
                    </w:rPr>
                  </w:pPr>
                </w:p>
              </w:tc>
              <w:tc>
                <w:tcPr>
                  <w:tcW w:w="613" w:type="pct"/>
                  <w:noWrap w:val="0"/>
                  <w:tcMar>
                    <w:top w:w="0" w:type="dxa"/>
                    <w:left w:w="0" w:type="dxa"/>
                    <w:bottom w:w="0" w:type="dxa"/>
                    <w:right w:w="0" w:type="dxa"/>
                  </w:tcMar>
                  <w:vAlign w:val="center"/>
                </w:tcPr>
                <w:p>
                  <w:pPr>
                    <w:widowControl/>
                    <w:adjustRightInd w:val="0"/>
                    <w:snapToGrid w:val="0"/>
                    <w:spacing w:line="240" w:lineRule="auto"/>
                    <w:jc w:val="center"/>
                    <w:rPr>
                      <w:b w:val="0"/>
                      <w:bCs w:val="0"/>
                      <w:szCs w:val="21"/>
                    </w:rPr>
                  </w:pPr>
                  <w:r>
                    <w:rPr>
                      <w:b w:val="0"/>
                      <w:bCs w:val="0"/>
                      <w:szCs w:val="21"/>
                    </w:rPr>
                    <w:t>排放速率（kg/h）</w:t>
                  </w:r>
                </w:p>
              </w:tc>
              <w:tc>
                <w:tcPr>
                  <w:tcW w:w="520"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21" w:type="pct"/>
                  <w:gridSpan w:val="3"/>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19" w:type="pct"/>
                  <w:gridSpan w:val="2"/>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541"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w:t>
                  </w:r>
                </w:p>
              </w:tc>
              <w:tc>
                <w:tcPr>
                  <w:tcW w:w="610"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szCs w:val="21"/>
                      <w:lang w:val="en-US" w:eastAsia="zh-CN"/>
                    </w:rPr>
                  </w:pPr>
                  <w:r>
                    <w:rPr>
                      <w:rFonts w:hint="eastAsia"/>
                      <w:szCs w:val="21"/>
                      <w:lang w:val="en-US" w:eastAsia="zh-CN"/>
                    </w:rPr>
                    <w:t>1</w:t>
                  </w:r>
                </w:p>
              </w:tc>
              <w:tc>
                <w:tcPr>
                  <w:tcW w:w="314" w:type="pct"/>
                  <w:noWrap w:val="0"/>
                  <w:tcMar>
                    <w:top w:w="0" w:type="dxa"/>
                    <w:left w:w="0" w:type="dxa"/>
                    <w:bottom w:w="0" w:type="dxa"/>
                    <w:right w:w="0" w:type="dxa"/>
                  </w:tcMar>
                  <w:vAlign w:val="center"/>
                </w:tcPr>
                <w:p>
                  <w:pPr>
                    <w:keepNext w:val="0"/>
                    <w:keepLines w:val="0"/>
                    <w:widowControl/>
                    <w:suppressLineNumbers w:val="0"/>
                    <w:jc w:val="center"/>
                    <w:textAlignment w:val="center"/>
                    <w:rPr>
                      <w:rFonts w:hint="eastAsia"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达标</w:t>
                  </w:r>
                </w:p>
              </w:tc>
            </w:tr>
          </w:tbl>
          <w:p>
            <w:pPr>
              <w:pStyle w:val="3"/>
              <w:numPr>
                <w:ilvl w:val="-1"/>
                <w:numId w:val="0"/>
              </w:numPr>
              <w:ind w:left="0" w:firstLine="0"/>
              <w:rPr>
                <w:rFonts w:hint="eastAsia"/>
                <w:lang w:val="en-US" w:eastAsia="zh-CN"/>
              </w:rPr>
            </w:pPr>
            <w:r>
              <w:rPr>
                <w:rFonts w:hint="eastAsia"/>
                <w:lang w:val="en-US" w:eastAsia="zh-CN"/>
              </w:rPr>
              <w:t>注：</w:t>
            </w:r>
          </w:p>
          <w:p>
            <w:pPr>
              <w:pStyle w:val="3"/>
              <w:numPr>
                <w:ilvl w:val="-1"/>
                <w:numId w:val="0"/>
              </w:numPr>
              <w:ind w:left="0" w:firstLine="0"/>
              <w:rPr>
                <w:rFonts w:hint="eastAsia"/>
                <w:lang w:val="en-US" w:eastAsia="zh-CN"/>
              </w:rPr>
            </w:pPr>
            <w:r>
              <w:rPr>
                <w:rFonts w:hint="eastAsia"/>
                <w:lang w:val="en-US" w:eastAsia="zh-CN"/>
              </w:rPr>
              <w:t>1、颗粒物检出限为1.0mg/m</w:t>
            </w:r>
            <w:r>
              <w:rPr>
                <w:rFonts w:hint="eastAsia"/>
                <w:vertAlign w:val="superscript"/>
                <w:lang w:val="en-US" w:eastAsia="zh-CN"/>
              </w:rPr>
              <w:t>3</w:t>
            </w:r>
            <w:r>
              <w:rPr>
                <w:rFonts w:hint="eastAsia"/>
                <w:vertAlign w:val="baseline"/>
                <w:lang w:val="en-US" w:eastAsia="zh-CN"/>
              </w:rPr>
              <w:t>；非甲烷总烃检出限为0.07</w:t>
            </w:r>
            <w:r>
              <w:rPr>
                <w:rFonts w:hint="eastAsia"/>
                <w:lang w:val="en-US" w:eastAsia="zh-CN"/>
              </w:rPr>
              <w:t>mg/m</w:t>
            </w:r>
            <w:r>
              <w:rPr>
                <w:rFonts w:hint="eastAsia"/>
                <w:vertAlign w:val="superscript"/>
                <w:lang w:val="en-US" w:eastAsia="zh-CN"/>
              </w:rPr>
              <w:t>3</w:t>
            </w:r>
            <w:r>
              <w:rPr>
                <w:rFonts w:hint="eastAsia"/>
                <w:vertAlign w:val="baseline"/>
                <w:lang w:val="en-US" w:eastAsia="zh-CN"/>
              </w:rPr>
              <w:t>；铬酸雾检出限为0.005</w:t>
            </w:r>
            <w:r>
              <w:rPr>
                <w:rFonts w:hint="eastAsia"/>
                <w:lang w:val="en-US" w:eastAsia="zh-CN"/>
              </w:rPr>
              <w:t>mg/m</w:t>
            </w:r>
            <w:r>
              <w:rPr>
                <w:rFonts w:hint="eastAsia"/>
                <w:vertAlign w:val="superscript"/>
                <w:lang w:val="en-US" w:eastAsia="zh-CN"/>
              </w:rPr>
              <w:t>3</w:t>
            </w:r>
            <w:r>
              <w:rPr>
                <w:rFonts w:hint="eastAsia"/>
                <w:vertAlign w:val="baseline"/>
                <w:lang w:val="en-US" w:eastAsia="zh-CN"/>
              </w:rPr>
              <w:t>；氮氧化物检出限为3</w:t>
            </w:r>
            <w:r>
              <w:rPr>
                <w:rFonts w:hint="eastAsia"/>
                <w:lang w:val="en-US" w:eastAsia="zh-CN"/>
              </w:rPr>
              <w:t>mg/m</w:t>
            </w:r>
            <w:r>
              <w:rPr>
                <w:rFonts w:hint="eastAsia"/>
                <w:vertAlign w:val="superscript"/>
                <w:lang w:val="en-US" w:eastAsia="zh-CN"/>
              </w:rPr>
              <w:t>3</w:t>
            </w:r>
            <w:r>
              <w:rPr>
                <w:rFonts w:hint="eastAsia"/>
                <w:vertAlign w:val="baseline"/>
                <w:lang w:val="en-US" w:eastAsia="zh-CN"/>
              </w:rPr>
              <w:t>；；二氧化硫检出限为3</w:t>
            </w:r>
            <w:r>
              <w:rPr>
                <w:rFonts w:hint="eastAsia"/>
                <w:lang w:val="en-US" w:eastAsia="zh-CN"/>
              </w:rPr>
              <w:t>mg/m</w:t>
            </w:r>
            <w:r>
              <w:rPr>
                <w:rFonts w:hint="eastAsia"/>
                <w:vertAlign w:val="superscript"/>
                <w:lang w:val="en-US" w:eastAsia="zh-CN"/>
              </w:rPr>
              <w:t>3</w:t>
            </w:r>
            <w:r>
              <w:rPr>
                <w:rFonts w:hint="eastAsia"/>
                <w:vertAlign w:val="baseline"/>
                <w:lang w:val="en-US" w:eastAsia="zh-CN"/>
              </w:rPr>
              <w:t>；硫化氢检出限为0.01</w:t>
            </w:r>
            <w:r>
              <w:rPr>
                <w:rFonts w:hint="eastAsia"/>
                <w:lang w:val="en-US" w:eastAsia="zh-CN"/>
              </w:rPr>
              <w:t>mg/m</w:t>
            </w:r>
            <w:r>
              <w:rPr>
                <w:rFonts w:hint="eastAsia"/>
                <w:vertAlign w:val="superscript"/>
                <w:lang w:val="en-US" w:eastAsia="zh-CN"/>
              </w:rPr>
              <w:t>3</w:t>
            </w:r>
            <w:r>
              <w:rPr>
                <w:rFonts w:hint="eastAsia"/>
                <w:vertAlign w:val="baseline"/>
                <w:lang w:val="en-US" w:eastAsia="zh-CN"/>
              </w:rPr>
              <w:t>；氨检出限为0.25</w:t>
            </w:r>
            <w:r>
              <w:rPr>
                <w:rFonts w:hint="eastAsia"/>
                <w:lang w:val="en-US" w:eastAsia="zh-CN"/>
              </w:rPr>
              <w:t>mg/m</w:t>
            </w:r>
            <w:r>
              <w:rPr>
                <w:rFonts w:hint="eastAsia"/>
                <w:vertAlign w:val="superscript"/>
                <w:lang w:val="en-US" w:eastAsia="zh-CN"/>
              </w:rPr>
              <w:t>3</w:t>
            </w:r>
            <w:r>
              <w:rPr>
                <w:rFonts w:hint="eastAsia"/>
                <w:vertAlign w:val="baseline"/>
                <w:lang w:val="en-US" w:eastAsia="zh-CN"/>
              </w:rPr>
              <w:t>；油烟检出限为0.1</w:t>
            </w:r>
            <w:r>
              <w:rPr>
                <w:rFonts w:hint="eastAsia"/>
                <w:lang w:val="en-US" w:eastAsia="zh-CN"/>
              </w:rPr>
              <w:t>mg/m</w:t>
            </w:r>
            <w:r>
              <w:rPr>
                <w:rFonts w:hint="eastAsia"/>
                <w:vertAlign w:val="superscript"/>
                <w:lang w:val="en-US" w:eastAsia="zh-CN"/>
              </w:rPr>
              <w:t>3</w:t>
            </w:r>
            <w:r>
              <w:rPr>
                <w:rFonts w:hint="eastAsia"/>
                <w:vertAlign w:val="baseline"/>
                <w:lang w:val="en-US" w:eastAsia="zh-CN"/>
              </w:rPr>
              <w:t>；</w:t>
            </w:r>
            <w:r>
              <w:rPr>
                <w:rFonts w:hint="eastAsia"/>
                <w:lang w:val="en-US" w:eastAsia="zh-CN"/>
              </w:rPr>
              <w:t>“ND”代表“未检出”；</w:t>
            </w:r>
          </w:p>
          <w:p>
            <w:pPr>
              <w:pStyle w:val="3"/>
              <w:numPr>
                <w:ilvl w:val="-1"/>
                <w:numId w:val="0"/>
              </w:numPr>
              <w:ind w:left="0" w:firstLine="0"/>
              <w:rPr>
                <w:rFonts w:hint="default"/>
                <w:lang w:val="en-US" w:eastAsia="zh-CN"/>
              </w:rPr>
            </w:pPr>
            <w:r>
              <w:rPr>
                <w:rFonts w:hint="eastAsia"/>
                <w:lang w:val="en-US" w:eastAsia="zh-CN"/>
              </w:rPr>
              <w:t>2、FQ-14~FQ-20、FQ40：企业三十一期项目《汽油系统高压泵体生产线搬迁项目》中已将其污染物全部削减为零，已不再有污染物排放。</w:t>
            </w:r>
          </w:p>
          <w:p>
            <w:pPr>
              <w:pStyle w:val="3"/>
              <w:numPr>
                <w:ilvl w:val="-1"/>
                <w:numId w:val="0"/>
              </w:numPr>
              <w:ind w:left="0" w:firstLine="0"/>
              <w:rPr>
                <w:rFonts w:hint="eastAsia"/>
                <w:lang w:val="en-US" w:eastAsia="zh-CN"/>
              </w:rPr>
            </w:pPr>
            <w:r>
              <w:rPr>
                <w:rFonts w:hint="eastAsia"/>
                <w:lang w:val="en-US" w:eastAsia="zh-CN"/>
              </w:rPr>
              <w:t>3、FQ-22~FQ-30：企业十一期项目《</w:t>
            </w:r>
            <w:r>
              <w:rPr>
                <w:rFonts w:hint="default" w:ascii="Times New Roman" w:hAnsi="Times New Roman" w:eastAsia="宋体" w:cs="Times New Roman"/>
                <w:color w:val="auto"/>
                <w:szCs w:val="21"/>
                <w:highlight w:val="none"/>
              </w:rPr>
              <w:t>年产高压油泵60万个、共轨油嘴308万个扩建项目</w:t>
            </w:r>
            <w:r>
              <w:rPr>
                <w:rFonts w:hint="eastAsia"/>
                <w:lang w:val="en-US" w:eastAsia="zh-CN"/>
              </w:rPr>
              <w:t>》实际仅建成第一阶段：年产共轨油嘴308万个。年产高压油泵60万个项目实际未建成，因此FQ22~30排气筒实际未建成；</w:t>
            </w:r>
          </w:p>
          <w:p>
            <w:pPr>
              <w:pStyle w:val="3"/>
              <w:numPr>
                <w:ilvl w:val="-1"/>
                <w:numId w:val="0"/>
              </w:numPr>
              <w:ind w:left="0" w:firstLine="0"/>
              <w:rPr>
                <w:rFonts w:hint="default"/>
                <w:lang w:val="en-US" w:eastAsia="zh-CN"/>
              </w:rPr>
            </w:pPr>
            <w:r>
              <w:rPr>
                <w:rFonts w:hint="eastAsia"/>
                <w:lang w:val="en-US" w:eastAsia="zh-CN"/>
              </w:rPr>
              <w:t>4、FQ-37：企业二十九期项目《</w:t>
            </w:r>
            <w:r>
              <w:rPr>
                <w:rFonts w:hint="eastAsia"/>
              </w:rPr>
              <w:t>共轨油嘴产能提升至2000万付项目</w:t>
            </w:r>
            <w:r>
              <w:rPr>
                <w:rFonts w:hint="eastAsia"/>
                <w:lang w:val="en-US" w:eastAsia="zh-CN"/>
              </w:rPr>
              <w:t>》中已将其污染物全部削减未零，已不再有污染物排放。</w:t>
            </w:r>
          </w:p>
          <w:p>
            <w:pPr>
              <w:pStyle w:val="3"/>
              <w:numPr>
                <w:ilvl w:val="0"/>
                <w:numId w:val="0"/>
              </w:numPr>
              <w:ind w:firstLine="0"/>
              <w:rPr>
                <w:rFonts w:hint="default" w:ascii="Times New Roman" w:hAnsi="Times New Roman" w:eastAsia="宋体" w:cs="Times New Roman"/>
                <w:color w:val="auto"/>
                <w:sz w:val="24"/>
                <w:highlight w:val="none"/>
              </w:rPr>
            </w:pPr>
            <w:r>
              <w:rPr>
                <w:rFonts w:hint="eastAsia"/>
                <w:lang w:val="en-US" w:eastAsia="zh-CN"/>
              </w:rPr>
              <w:t>5、FQ-38、FQ-39企业二十一期项目《</w:t>
            </w:r>
            <w:r>
              <w:rPr>
                <w:rFonts w:hint="default" w:ascii="Times New Roman" w:hAnsi="Times New Roman" w:eastAsia="宋体" w:cs="Times New Roman"/>
                <w:color w:val="auto"/>
                <w:szCs w:val="21"/>
                <w:highlight w:val="none"/>
              </w:rPr>
              <w:t>新建燃料电池研发中心项目</w:t>
            </w:r>
            <w:r>
              <w:rPr>
                <w:rFonts w:hint="eastAsia"/>
                <w:lang w:val="en-US" w:eastAsia="zh-CN"/>
              </w:rPr>
              <w:t>》实际仅建成第一阶段：</w:t>
            </w:r>
            <w:r>
              <w:rPr>
                <w:rFonts w:hint="eastAsia"/>
              </w:rPr>
              <w:t>燃料电池系统测试、电堆测试项目</w:t>
            </w:r>
            <w:r>
              <w:rPr>
                <w:rFonts w:hint="eastAsia"/>
                <w:lang w:eastAsia="zh-CN"/>
              </w:rPr>
              <w:t>。</w:t>
            </w:r>
            <w:r>
              <w:rPr>
                <w:rFonts w:hint="eastAsia"/>
                <w:lang w:val="en-US" w:eastAsia="zh-CN"/>
              </w:rPr>
              <w:t>燃料电池、电堆等试制工序均未建成，因此FQ-38~39排气筒实际未建成。</w:t>
            </w:r>
          </w:p>
          <w:p>
            <w:pPr>
              <w:adjustRightInd w:val="0"/>
              <w:snapToGrid w:val="0"/>
              <w:spacing w:line="500" w:lineRule="exact"/>
              <w:ind w:firstLine="480" w:firstLineChars="200"/>
              <w:rPr>
                <w:rFonts w:hint="eastAsia" w:cs="Times New Roman"/>
                <w:color w:val="FF0000"/>
                <w:sz w:val="24"/>
                <w:highlight w:val="none"/>
                <w:lang w:val="en-US" w:eastAsia="zh-CN"/>
              </w:rPr>
            </w:pPr>
            <w:r>
              <w:rPr>
                <w:rFonts w:hint="eastAsia" w:cs="Times New Roman"/>
                <w:color w:val="FF0000"/>
                <w:sz w:val="24"/>
                <w:highlight w:val="none"/>
                <w:lang w:val="en-US" w:eastAsia="zh-CN"/>
              </w:rPr>
              <w:t>根据现有项目有组织废气实际监测数据分析，现有项目有组织废气排放总量见表2-10。</w:t>
            </w:r>
          </w:p>
          <w:p>
            <w:pPr>
              <w:pStyle w:val="2"/>
              <w:rPr>
                <w:rFonts w:hint="eastAsia" w:cs="Times New Roman"/>
                <w:color w:val="FF0000"/>
                <w:sz w:val="24"/>
                <w:highlight w:val="none"/>
                <w:lang w:val="en-US" w:eastAsia="zh-CN"/>
              </w:rPr>
            </w:pPr>
          </w:p>
          <w:p>
            <w:pPr>
              <w:pStyle w:val="3"/>
              <w:widowControl w:val="0"/>
              <w:numPr>
                <w:ilvl w:val="0"/>
                <w:numId w:val="0"/>
              </w:numPr>
              <w:jc w:val="both"/>
              <w:rPr>
                <w:rFonts w:hint="eastAsia" w:cs="Times New Roman"/>
                <w:color w:val="FF0000"/>
                <w:sz w:val="24"/>
                <w:highlight w:val="none"/>
                <w:lang w:val="en-US" w:eastAsia="zh-CN"/>
              </w:rPr>
            </w:pPr>
          </w:p>
          <w:p>
            <w:pPr>
              <w:pStyle w:val="3"/>
              <w:widowControl w:val="0"/>
              <w:numPr>
                <w:ilvl w:val="0"/>
                <w:numId w:val="0"/>
              </w:numPr>
              <w:jc w:val="both"/>
              <w:rPr>
                <w:rFonts w:hint="eastAsia" w:cs="Times New Roman"/>
                <w:color w:val="FF0000"/>
                <w:sz w:val="24"/>
                <w:highlight w:val="none"/>
                <w:lang w:val="en-US" w:eastAsia="zh-CN"/>
              </w:rPr>
            </w:pPr>
          </w:p>
          <w:p>
            <w:pPr>
              <w:pStyle w:val="3"/>
              <w:widowControl w:val="0"/>
              <w:numPr>
                <w:ilvl w:val="0"/>
                <w:numId w:val="0"/>
              </w:numPr>
              <w:jc w:val="both"/>
              <w:rPr>
                <w:rFonts w:hint="eastAsia" w:cs="Times New Roman"/>
                <w:color w:val="FF0000"/>
                <w:sz w:val="24"/>
                <w:highlight w:val="none"/>
                <w:lang w:val="en-US" w:eastAsia="zh-CN"/>
              </w:rPr>
            </w:pPr>
          </w:p>
          <w:p>
            <w:pPr>
              <w:pStyle w:val="2"/>
              <w:jc w:val="center"/>
              <w:rPr>
                <w:rFonts w:hint="eastAsia" w:cs="Times New Roman"/>
                <w:color w:val="FF0000"/>
                <w:sz w:val="24"/>
                <w:highlight w:val="none"/>
                <w:lang w:val="en-US" w:eastAsia="zh-CN"/>
              </w:rPr>
            </w:pPr>
            <w:r>
              <w:rPr>
                <w:rFonts w:hint="eastAsia" w:cs="Times New Roman"/>
                <w:color w:val="FF0000"/>
                <w:sz w:val="24"/>
                <w:highlight w:val="none"/>
                <w:lang w:val="en-US" w:eastAsia="zh-CN"/>
              </w:rPr>
              <w:t>表2-10   新华路厂区现有项目有组织废气排放情况表</w:t>
            </w:r>
          </w:p>
          <w:tbl>
            <w:tblPr>
              <w:tblStyle w:val="21"/>
              <w:tblW w:w="492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19"/>
              <w:gridCol w:w="623"/>
              <w:gridCol w:w="2208"/>
              <w:gridCol w:w="2075"/>
              <w:gridCol w:w="1870"/>
              <w:gridCol w:w="10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污染物</w:t>
                  </w: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排放口</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平均排放速率（</w:t>
                  </w:r>
                  <w:r>
                    <w:rPr>
                      <w:rStyle w:val="97"/>
                      <w:rFonts w:eastAsia="宋体"/>
                      <w:sz w:val="21"/>
                      <w:szCs w:val="21"/>
                      <w:lang w:val="en-US" w:eastAsia="zh-CN" w:bidi="ar"/>
                    </w:rPr>
                    <w:t>kg/h</w:t>
                  </w: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实际年排放总量（</w:t>
                  </w:r>
                  <w:r>
                    <w:rPr>
                      <w:rStyle w:val="97"/>
                      <w:rFonts w:eastAsia="宋体"/>
                      <w:sz w:val="21"/>
                      <w:szCs w:val="21"/>
                      <w:lang w:val="en-US" w:eastAsia="zh-CN" w:bidi="ar"/>
                    </w:rPr>
                    <w:t>t/a</w:t>
                  </w:r>
                  <w:r>
                    <w:rPr>
                      <w:rFonts w:hint="default" w:ascii="Times New Roman" w:hAnsi="Times New Roman" w:eastAsia="宋体" w:cs="Times New Roman"/>
                      <w:i w:val="0"/>
                      <w:iCs w:val="0"/>
                      <w:color w:val="000000"/>
                      <w:kern w:val="0"/>
                      <w:sz w:val="21"/>
                      <w:szCs w:val="21"/>
                      <w:u w:val="none"/>
                      <w:lang w:val="en-US" w:eastAsia="zh-CN" w:bidi="ar"/>
                    </w:rPr>
                    <w:t>）</w:t>
                  </w:r>
                </w:p>
              </w:tc>
              <w:tc>
                <w:tcPr>
                  <w:tcW w:w="950"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合并排放总量（</w:t>
                  </w:r>
                  <w:r>
                    <w:rPr>
                      <w:rStyle w:val="97"/>
                      <w:rFonts w:eastAsia="宋体"/>
                      <w:sz w:val="21"/>
                      <w:szCs w:val="21"/>
                      <w:lang w:val="en-US" w:eastAsia="zh-CN" w:bidi="ar"/>
                    </w:rPr>
                    <w:t>t/a</w:t>
                  </w:r>
                  <w:r>
                    <w:rPr>
                      <w:rFonts w:hint="default" w:ascii="Times New Roman" w:hAnsi="Times New Roman" w:eastAsia="宋体" w:cs="Times New Roman"/>
                      <w:i w:val="0"/>
                      <w:iCs w:val="0"/>
                      <w:color w:val="000000"/>
                      <w:kern w:val="0"/>
                      <w:sz w:val="21"/>
                      <w:szCs w:val="21"/>
                      <w:u w:val="none"/>
                      <w:lang w:val="en-US" w:eastAsia="zh-CN" w:bidi="ar"/>
                    </w:rPr>
                    <w:t>）</w:t>
                  </w:r>
                </w:p>
              </w:tc>
              <w:tc>
                <w:tcPr>
                  <w:tcW w:w="90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环评批复量</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非甲烷</w:t>
                  </w:r>
                </w:p>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总烃</w:t>
                  </w: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FQ-01</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0.022</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0.1901</w:t>
                  </w:r>
                </w:p>
              </w:tc>
              <w:tc>
                <w:tcPr>
                  <w:tcW w:w="950"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1.0581</w:t>
                  </w:r>
                </w:p>
              </w:tc>
              <w:tc>
                <w:tcPr>
                  <w:tcW w:w="905"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3.6995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FQ-02</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0.021</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0.1814</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FQ-07</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0.0078</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0.0674</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FQ-08</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0.009</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0.0778</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FQ-09</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0.2074</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FQ-10</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0.1210</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FQ-21</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0.0026</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0.0225</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FQ-31</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0.1210</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FQ-33</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0.0013</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0.0112</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FQ-34</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0.00076</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0.0066</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FQ-35</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0.00073</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0.0063</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FQ-36</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0.0017</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0.0147</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FQ-41</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0.0027</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0.0233</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FQ-42</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0.00088</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0.0076</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铬酸雾</w:t>
                  </w: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FQ-03</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50"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05"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FQ-04</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FQ-12</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FQ-13</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FQ-05</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0.0029</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0.0251</w:t>
                  </w:r>
                </w:p>
              </w:tc>
              <w:tc>
                <w:tcPr>
                  <w:tcW w:w="950"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0.8199</w:t>
                  </w:r>
                </w:p>
              </w:tc>
              <w:tc>
                <w:tcPr>
                  <w:tcW w:w="905"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0.1877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FQ-06</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0.077</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0.6653</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FQ-07</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0.0518</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FQ-08</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FQ-09</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0.009</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0.0778</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FQ-11</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FQ-32</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FQ-42</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FQ-43</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氮氧化物</w:t>
                  </w: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FQ-06</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50"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1.2096</w:t>
                  </w:r>
                </w:p>
              </w:tc>
              <w:tc>
                <w:tcPr>
                  <w:tcW w:w="905"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FQ-08</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FQ-09</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二氧化硫</w:t>
                  </w: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FQ-06</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50"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0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硫化氢</w:t>
                  </w: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FQ-41</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0.0000196</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0.0002</w:t>
                  </w:r>
                </w:p>
              </w:tc>
              <w:tc>
                <w:tcPr>
                  <w:tcW w:w="950"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0.0002</w:t>
                  </w:r>
                </w:p>
              </w:tc>
              <w:tc>
                <w:tcPr>
                  <w:tcW w:w="90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w:t>
                  </w: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FQ-41</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0.0011</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0.0095</w:t>
                  </w:r>
                </w:p>
              </w:tc>
              <w:tc>
                <w:tcPr>
                  <w:tcW w:w="950"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0.0136</w:t>
                  </w:r>
                </w:p>
              </w:tc>
              <w:tc>
                <w:tcPr>
                  <w:tcW w:w="905" w:type="pct"/>
                  <w:vMerge w:val="restar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FQ-42</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0.00047</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0.0041</w:t>
                  </w:r>
                </w:p>
              </w:tc>
              <w:tc>
                <w:tcPr>
                  <w:tcW w:w="950"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c>
                <w:tcPr>
                  <w:tcW w:w="905" w:type="pct"/>
                  <w:vMerge w:val="continue"/>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w:t>
                  </w: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排放口</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平均排放浓度（</w:t>
                  </w:r>
                  <w:r>
                    <w:rPr>
                      <w:rStyle w:val="97"/>
                      <w:rFonts w:eastAsia="宋体"/>
                      <w:b/>
                      <w:bCs/>
                      <w:sz w:val="21"/>
                      <w:szCs w:val="21"/>
                      <w:lang w:val="en-US" w:eastAsia="zh-CN" w:bidi="ar"/>
                    </w:rPr>
                    <w:t>mg/m</w:t>
                  </w:r>
                  <w:r>
                    <w:rPr>
                      <w:rStyle w:val="97"/>
                      <w:rFonts w:eastAsia="宋体"/>
                      <w:b/>
                      <w:bCs/>
                      <w:sz w:val="21"/>
                      <w:szCs w:val="21"/>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实际年排放总量（</w:t>
                  </w:r>
                  <w:r>
                    <w:rPr>
                      <w:rStyle w:val="97"/>
                      <w:rFonts w:eastAsia="宋体"/>
                      <w:b/>
                      <w:bCs/>
                      <w:sz w:val="21"/>
                      <w:szCs w:val="21"/>
                      <w:lang w:val="en-US" w:eastAsia="zh-CN" w:bidi="ar"/>
                    </w:rPr>
                    <w:t>t/a</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950"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合并排放总量（</w:t>
                  </w:r>
                  <w:r>
                    <w:rPr>
                      <w:rStyle w:val="97"/>
                      <w:rFonts w:eastAsia="宋体"/>
                      <w:b/>
                      <w:bCs/>
                      <w:sz w:val="21"/>
                      <w:szCs w:val="21"/>
                      <w:lang w:val="en-US" w:eastAsia="zh-CN" w:bidi="ar"/>
                    </w:rPr>
                    <w:t>t/a</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90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环评批复量</w:t>
                  </w:r>
                </w:p>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8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油烟</w:t>
                  </w:r>
                </w:p>
              </w:tc>
              <w:tc>
                <w:tcPr>
                  <w:tcW w:w="533"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FQ-06</w:t>
                  </w:r>
                </w:p>
              </w:tc>
              <w:tc>
                <w:tcPr>
                  <w:tcW w:w="98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041"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0.0054</w:t>
                  </w:r>
                </w:p>
              </w:tc>
              <w:tc>
                <w:tcPr>
                  <w:tcW w:w="950"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0.0054</w:t>
                  </w:r>
                </w:p>
              </w:tc>
              <w:tc>
                <w:tcPr>
                  <w:tcW w:w="905" w:type="pct"/>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0.054</w:t>
                  </w:r>
                </w:p>
              </w:tc>
            </w:tr>
          </w:tbl>
          <w:p>
            <w:pPr>
              <w:adjustRightInd w:val="0"/>
              <w:snapToGrid w:val="0"/>
              <w:spacing w:line="500" w:lineRule="exact"/>
              <w:ind w:firstLine="480" w:firstLineChars="200"/>
              <w:rPr>
                <w:rFonts w:hint="default" w:ascii="Times New Roman" w:hAnsi="Times New Roman" w:eastAsia="宋体" w:cs="Times New Roman"/>
                <w:color w:val="auto"/>
                <w:spacing w:val="-2"/>
                <w:sz w:val="24"/>
                <w:highlight w:val="none"/>
              </w:rPr>
            </w:pPr>
            <w:r>
              <w:rPr>
                <w:rFonts w:hint="eastAsia" w:cs="Times New Roman"/>
                <w:color w:val="auto"/>
                <w:sz w:val="24"/>
                <w:highlight w:val="none"/>
                <w:lang w:val="en-US" w:eastAsia="zh-CN"/>
              </w:rPr>
              <w:t>由监测结果分析：</w:t>
            </w:r>
            <w:r>
              <w:rPr>
                <w:rFonts w:hint="default" w:ascii="Times New Roman" w:hAnsi="Times New Roman" w:eastAsia="宋体" w:cs="Times New Roman"/>
                <w:color w:val="auto"/>
                <w:sz w:val="24"/>
                <w:highlight w:val="none"/>
              </w:rPr>
              <w:t>注塑</w:t>
            </w:r>
            <w:r>
              <w:rPr>
                <w:rFonts w:hint="eastAsia" w:cs="Times New Roman"/>
                <w:color w:val="auto"/>
                <w:sz w:val="24"/>
                <w:highlight w:val="none"/>
                <w:lang w:val="en-US" w:eastAsia="zh-CN"/>
              </w:rPr>
              <w:t>产生的非甲烷总烃经处理后通过</w:t>
            </w:r>
            <w:r>
              <w:rPr>
                <w:rFonts w:hint="default" w:ascii="Times New Roman" w:hAnsi="Times New Roman" w:eastAsia="宋体" w:cs="Times New Roman"/>
                <w:color w:val="auto"/>
                <w:sz w:val="24"/>
                <w:highlight w:val="none"/>
              </w:rPr>
              <w:t>FQ-42排放，</w:t>
            </w:r>
            <w:r>
              <w:rPr>
                <w:rFonts w:hint="eastAsia" w:cs="Times New Roman"/>
                <w:color w:val="auto"/>
                <w:sz w:val="24"/>
                <w:highlight w:val="none"/>
                <w:lang w:val="en-US" w:eastAsia="zh-CN"/>
              </w:rPr>
              <w:t>满足</w:t>
            </w:r>
            <w:r>
              <w:rPr>
                <w:rFonts w:hint="default" w:ascii="Times New Roman" w:hAnsi="Times New Roman" w:eastAsia="宋体" w:cs="Times New Roman"/>
                <w:color w:val="auto"/>
                <w:sz w:val="24"/>
                <w:highlight w:val="none"/>
              </w:rPr>
              <w:t>《合成树脂工业污染物排放标准》(GB31572-2015)表5</w:t>
            </w:r>
            <w:r>
              <w:rPr>
                <w:rFonts w:hint="eastAsia" w:cs="Times New Roman"/>
                <w:color w:val="auto"/>
                <w:sz w:val="24"/>
                <w:highlight w:val="none"/>
                <w:lang w:val="en-US" w:eastAsia="zh-CN"/>
              </w:rPr>
              <w:t>中</w:t>
            </w:r>
            <w:r>
              <w:rPr>
                <w:rFonts w:hint="default" w:ascii="Times New Roman" w:hAnsi="Times New Roman" w:eastAsia="宋体" w:cs="Times New Roman"/>
                <w:color w:val="auto"/>
                <w:sz w:val="24"/>
                <w:highlight w:val="none"/>
              </w:rPr>
              <w:t>排放限值</w:t>
            </w:r>
            <w:r>
              <w:rPr>
                <w:rFonts w:hint="eastAsia" w:cs="Times New Roman"/>
                <w:color w:val="auto"/>
                <w:sz w:val="24"/>
                <w:highlight w:val="none"/>
                <w:lang w:val="en-US" w:eastAsia="zh-CN"/>
              </w:rPr>
              <w:t>要求</w:t>
            </w:r>
            <w:r>
              <w:rPr>
                <w:rFonts w:hint="default" w:ascii="Times New Roman" w:hAnsi="Times New Roman" w:eastAsia="宋体" w:cs="Times New Roman"/>
                <w:color w:val="auto"/>
                <w:spacing w:val="-2"/>
                <w:sz w:val="24"/>
                <w:highlight w:val="none"/>
              </w:rPr>
              <w:t>。</w:t>
            </w:r>
          </w:p>
          <w:p>
            <w:pPr>
              <w:adjustRightInd w:val="0"/>
              <w:snapToGrid w:val="0"/>
              <w:spacing w:line="500" w:lineRule="exact"/>
              <w:ind w:firstLine="482"/>
              <w:rPr>
                <w:rFonts w:hint="default" w:ascii="Times New Roman" w:hAnsi="Times New Roman" w:eastAsia="宋体" w:cs="Times New Roman"/>
                <w:color w:val="auto"/>
                <w:spacing w:val="-2"/>
                <w:sz w:val="24"/>
                <w:highlight w:val="none"/>
              </w:rPr>
            </w:pPr>
            <w:r>
              <w:rPr>
                <w:rFonts w:hint="default" w:ascii="Times New Roman" w:hAnsi="Times New Roman" w:eastAsia="宋体" w:cs="Times New Roman"/>
                <w:color w:val="auto"/>
                <w:spacing w:val="-2"/>
                <w:sz w:val="24"/>
                <w:highlight w:val="none"/>
              </w:rPr>
              <w:t>污水处理站废气</w:t>
            </w:r>
            <w:r>
              <w:rPr>
                <w:rFonts w:hint="eastAsia" w:cs="Times New Roman"/>
                <w:color w:val="auto"/>
                <w:spacing w:val="-2"/>
                <w:sz w:val="24"/>
                <w:highlight w:val="none"/>
                <w:lang w:eastAsia="zh-CN"/>
              </w:rPr>
              <w:t>（</w:t>
            </w:r>
            <w:r>
              <w:rPr>
                <w:rFonts w:hint="eastAsia" w:cs="Times New Roman"/>
                <w:color w:val="auto"/>
                <w:spacing w:val="-2"/>
                <w:sz w:val="24"/>
                <w:highlight w:val="none"/>
                <w:lang w:val="en-US" w:eastAsia="zh-CN"/>
              </w:rPr>
              <w:t xml:space="preserve">氨、硫化氢 </w:t>
            </w:r>
            <w:r>
              <w:rPr>
                <w:rFonts w:hint="eastAsia" w:cs="Times New Roman"/>
                <w:color w:val="auto"/>
                <w:spacing w:val="-2"/>
                <w:sz w:val="24"/>
                <w:highlight w:val="none"/>
                <w:lang w:eastAsia="zh-CN"/>
              </w:rPr>
              <w:t>）</w:t>
            </w:r>
            <w:r>
              <w:rPr>
                <w:rFonts w:hint="eastAsia" w:cs="Times New Roman"/>
                <w:color w:val="auto"/>
                <w:spacing w:val="-2"/>
                <w:sz w:val="24"/>
                <w:highlight w:val="none"/>
                <w:lang w:val="en-US" w:eastAsia="zh-CN"/>
              </w:rPr>
              <w:t>经处理后通过</w:t>
            </w:r>
            <w:r>
              <w:rPr>
                <w:rFonts w:hint="default" w:ascii="Times New Roman" w:hAnsi="Times New Roman" w:eastAsia="宋体" w:cs="Times New Roman"/>
                <w:color w:val="auto"/>
                <w:spacing w:val="-2"/>
                <w:sz w:val="24"/>
                <w:highlight w:val="none"/>
              </w:rPr>
              <w:t>FQ-41排放，</w:t>
            </w:r>
            <w:r>
              <w:rPr>
                <w:rFonts w:hint="eastAsia" w:cs="Times New Roman"/>
                <w:color w:val="auto"/>
                <w:sz w:val="24"/>
                <w:highlight w:val="none"/>
                <w:lang w:val="en-US" w:eastAsia="zh-CN"/>
              </w:rPr>
              <w:t>满足</w:t>
            </w:r>
            <w:r>
              <w:rPr>
                <w:rFonts w:hint="eastAsia" w:cs="Times New Roman"/>
                <w:color w:val="auto"/>
                <w:spacing w:val="-2"/>
                <w:sz w:val="24"/>
                <w:highlight w:val="none"/>
                <w:lang w:eastAsia="zh-CN"/>
              </w:rPr>
              <w:t>《</w:t>
            </w:r>
            <w:r>
              <w:rPr>
                <w:rFonts w:hint="default" w:ascii="Times New Roman" w:hAnsi="Times New Roman" w:eastAsia="宋体" w:cs="Times New Roman"/>
                <w:color w:val="auto"/>
                <w:spacing w:val="-2"/>
                <w:sz w:val="24"/>
                <w:highlight w:val="none"/>
              </w:rPr>
              <w:t>恶臭</w:t>
            </w:r>
            <w:r>
              <w:rPr>
                <w:rFonts w:hint="eastAsia" w:cs="Times New Roman"/>
                <w:color w:val="auto"/>
                <w:spacing w:val="-2"/>
                <w:sz w:val="24"/>
                <w:highlight w:val="none"/>
                <w:lang w:eastAsia="zh-CN"/>
              </w:rPr>
              <w:t>（</w:t>
            </w:r>
            <w:r>
              <w:rPr>
                <w:rFonts w:hint="eastAsia" w:cs="Times New Roman"/>
                <w:color w:val="auto"/>
                <w:spacing w:val="-2"/>
                <w:sz w:val="24"/>
                <w:highlight w:val="none"/>
                <w:lang w:val="en-US" w:eastAsia="zh-CN"/>
              </w:rPr>
              <w:t>异味</w:t>
            </w:r>
            <w:r>
              <w:rPr>
                <w:rFonts w:hint="eastAsia" w:cs="Times New Roman"/>
                <w:color w:val="auto"/>
                <w:spacing w:val="-2"/>
                <w:sz w:val="24"/>
                <w:highlight w:val="none"/>
                <w:lang w:eastAsia="zh-CN"/>
              </w:rPr>
              <w:t>）</w:t>
            </w:r>
            <w:r>
              <w:rPr>
                <w:rFonts w:hint="default" w:ascii="Times New Roman" w:hAnsi="Times New Roman" w:eastAsia="宋体" w:cs="Times New Roman"/>
                <w:color w:val="auto"/>
                <w:spacing w:val="-2"/>
                <w:sz w:val="24"/>
                <w:highlight w:val="none"/>
              </w:rPr>
              <w:t>污染控制标准</w:t>
            </w:r>
            <w:r>
              <w:rPr>
                <w:rFonts w:hint="eastAsia" w:cs="Times New Roman"/>
                <w:color w:val="auto"/>
                <w:spacing w:val="-2"/>
                <w:sz w:val="24"/>
                <w:highlight w:val="none"/>
                <w:lang w:eastAsia="zh-CN"/>
              </w:rPr>
              <w:t>》（</w:t>
            </w:r>
            <w:r>
              <w:rPr>
                <w:rFonts w:hint="default"/>
                <w:color w:val="auto"/>
                <w:spacing w:val="-2"/>
                <w:sz w:val="24"/>
                <w:highlight w:val="none"/>
              </w:rPr>
              <w:t>DB31/1025—2016</w:t>
            </w:r>
            <w:r>
              <w:rPr>
                <w:rFonts w:hint="eastAsia"/>
                <w:color w:val="auto"/>
                <w:spacing w:val="-2"/>
                <w:sz w:val="24"/>
                <w:highlight w:val="none"/>
                <w:lang w:eastAsia="zh-CN"/>
              </w:rPr>
              <w:t>）</w:t>
            </w:r>
            <w:r>
              <w:rPr>
                <w:rFonts w:hint="eastAsia"/>
                <w:color w:val="auto"/>
                <w:spacing w:val="-2"/>
                <w:sz w:val="24"/>
                <w:highlight w:val="none"/>
                <w:lang w:val="en-US" w:eastAsia="zh-CN"/>
              </w:rPr>
              <w:t>表2中排放限值要求</w:t>
            </w:r>
            <w:r>
              <w:rPr>
                <w:rFonts w:hint="default" w:ascii="Times New Roman" w:hAnsi="Times New Roman" w:eastAsia="宋体" w:cs="Times New Roman"/>
                <w:color w:val="auto"/>
                <w:spacing w:val="-2"/>
                <w:sz w:val="24"/>
                <w:highlight w:val="none"/>
              </w:rPr>
              <w:t>。</w:t>
            </w:r>
          </w:p>
          <w:p>
            <w:pPr>
              <w:adjustRightInd w:val="0"/>
              <w:snapToGrid w:val="0"/>
              <w:spacing w:line="500" w:lineRule="exact"/>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食堂产生</w:t>
            </w:r>
            <w:r>
              <w:rPr>
                <w:rFonts w:hint="eastAsia" w:cs="Times New Roman"/>
                <w:color w:val="auto"/>
                <w:sz w:val="24"/>
                <w:highlight w:val="none"/>
                <w:lang w:val="en-US" w:eastAsia="zh-CN"/>
              </w:rPr>
              <w:t>的</w:t>
            </w:r>
            <w:r>
              <w:rPr>
                <w:rFonts w:hint="default" w:ascii="Times New Roman" w:hAnsi="Times New Roman" w:eastAsia="宋体" w:cs="Times New Roman"/>
                <w:color w:val="auto"/>
                <w:sz w:val="24"/>
                <w:highlight w:val="none"/>
              </w:rPr>
              <w:t>油烟经处理后</w:t>
            </w:r>
            <w:r>
              <w:rPr>
                <w:rFonts w:hint="eastAsia" w:cs="Times New Roman"/>
                <w:color w:val="auto"/>
                <w:sz w:val="24"/>
                <w:highlight w:val="none"/>
                <w:lang w:val="en-US" w:eastAsia="zh-CN"/>
              </w:rPr>
              <w:t>通过</w:t>
            </w:r>
            <w:r>
              <w:rPr>
                <w:rFonts w:hint="default" w:ascii="Times New Roman" w:hAnsi="Times New Roman" w:eastAsia="宋体" w:cs="Times New Roman"/>
                <w:color w:val="auto"/>
                <w:sz w:val="24"/>
                <w:highlight w:val="none"/>
              </w:rPr>
              <w:t>FQ</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06排气筒排放，</w:t>
            </w:r>
            <w:r>
              <w:rPr>
                <w:rFonts w:hint="eastAsia" w:cs="Times New Roman"/>
                <w:color w:val="auto"/>
                <w:sz w:val="24"/>
                <w:highlight w:val="none"/>
                <w:lang w:val="en-US" w:eastAsia="zh-CN"/>
              </w:rPr>
              <w:t>满足</w:t>
            </w:r>
            <w:r>
              <w:rPr>
                <w:rFonts w:hint="default" w:ascii="Times New Roman" w:hAnsi="Times New Roman" w:eastAsia="宋体" w:cs="Times New Roman"/>
                <w:color w:val="auto"/>
                <w:sz w:val="24"/>
                <w:highlight w:val="none"/>
              </w:rPr>
              <w:t>《饮食业油烟排放标准》（试行）GB18483-2001中中型的标准。</w:t>
            </w:r>
          </w:p>
          <w:p>
            <w:pPr>
              <w:adjustRightInd w:val="0"/>
              <w:snapToGrid w:val="0"/>
              <w:spacing w:line="500" w:lineRule="exact"/>
              <w:ind w:firstLine="480" w:firstLineChars="200"/>
              <w:rPr>
                <w:rFonts w:hint="default" w:ascii="Calibri" w:hAnsi="Calibri" w:cs="Calibri"/>
                <w:color w:val="auto"/>
                <w:sz w:val="24"/>
                <w:highlight w:val="none"/>
                <w:lang w:val="en-US" w:eastAsia="zh-CN"/>
              </w:rPr>
            </w:pPr>
            <w:r>
              <w:rPr>
                <w:rFonts w:hint="eastAsia" w:cs="Times New Roman"/>
                <w:color w:val="auto"/>
                <w:sz w:val="24"/>
                <w:highlight w:val="none"/>
                <w:lang w:val="en-US" w:eastAsia="zh-CN"/>
              </w:rPr>
              <w:t>其他</w:t>
            </w:r>
            <w:r>
              <w:rPr>
                <w:rFonts w:hint="default" w:ascii="Times New Roman" w:hAnsi="Times New Roman" w:eastAsia="宋体" w:cs="Times New Roman"/>
                <w:color w:val="auto"/>
                <w:sz w:val="24"/>
                <w:highlight w:val="none"/>
              </w:rPr>
              <w:t>金加工、清洗产生的非甲烷总烃</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镀铬</w:t>
            </w:r>
            <w:r>
              <w:rPr>
                <w:rFonts w:hint="eastAsia" w:cs="Times New Roman"/>
                <w:color w:val="auto"/>
                <w:sz w:val="24"/>
                <w:highlight w:val="none"/>
                <w:lang w:val="en-US" w:eastAsia="zh-CN"/>
              </w:rPr>
              <w:t>产生的</w:t>
            </w:r>
            <w:r>
              <w:rPr>
                <w:rFonts w:hint="default" w:ascii="Times New Roman" w:hAnsi="Times New Roman" w:eastAsia="宋体" w:cs="Times New Roman"/>
                <w:color w:val="auto"/>
                <w:sz w:val="24"/>
                <w:highlight w:val="none"/>
              </w:rPr>
              <w:t>铬酸雾</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焊接</w:t>
            </w:r>
            <w:r>
              <w:rPr>
                <w:rFonts w:hint="eastAsia" w:cs="Times New Roman"/>
                <w:color w:val="auto"/>
                <w:sz w:val="24"/>
                <w:highlight w:val="none"/>
                <w:lang w:eastAsia="zh-CN"/>
              </w:rPr>
              <w:t>、</w:t>
            </w:r>
            <w:r>
              <w:rPr>
                <w:rFonts w:hint="eastAsia" w:cs="Times New Roman"/>
                <w:color w:val="auto"/>
                <w:sz w:val="24"/>
                <w:highlight w:val="none"/>
                <w:lang w:val="en-US" w:eastAsia="zh-CN"/>
              </w:rPr>
              <w:t>喷砂</w:t>
            </w:r>
            <w:r>
              <w:rPr>
                <w:rFonts w:hint="default" w:ascii="Times New Roman" w:hAnsi="Times New Roman" w:eastAsia="宋体" w:cs="Times New Roman"/>
                <w:color w:val="auto"/>
                <w:sz w:val="24"/>
                <w:highlight w:val="none"/>
              </w:rPr>
              <w:t>产生的颗粒物</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经处理后均能</w:t>
            </w:r>
            <w:r>
              <w:rPr>
                <w:rFonts w:hint="eastAsia" w:cs="Times New Roman"/>
                <w:color w:val="auto"/>
                <w:sz w:val="24"/>
                <w:highlight w:val="none"/>
                <w:lang w:val="en-US" w:eastAsia="zh-CN"/>
              </w:rPr>
              <w:t>满足</w:t>
            </w:r>
            <w:r>
              <w:rPr>
                <w:rFonts w:hint="default" w:ascii="Times New Roman" w:hAnsi="Times New Roman" w:eastAsia="宋体" w:cs="Times New Roman"/>
                <w:color w:val="auto"/>
                <w:sz w:val="24"/>
                <w:highlight w:val="none"/>
              </w:rPr>
              <w:t>江苏省《大气污染物综合排放标准》（DB32/4041-2021）</w:t>
            </w:r>
            <w:r>
              <w:rPr>
                <w:rFonts w:hint="eastAsia" w:cs="Times New Roman"/>
                <w:color w:val="auto"/>
                <w:sz w:val="24"/>
                <w:highlight w:val="none"/>
                <w:lang w:val="en-US" w:eastAsia="zh-CN"/>
              </w:rPr>
              <w:t>表1中排放限值要求</w:t>
            </w:r>
            <w:r>
              <w:rPr>
                <w:rFonts w:hint="default" w:ascii="Times New Roman" w:hAnsi="Times New Roman" w:eastAsia="宋体" w:cs="Times New Roman"/>
                <w:color w:val="auto"/>
                <w:sz w:val="24"/>
                <w:highlight w:val="none"/>
              </w:rPr>
              <w:t>。</w:t>
            </w:r>
          </w:p>
          <w:p>
            <w:pPr>
              <w:adjustRightInd w:val="0"/>
              <w:snapToGrid w:val="0"/>
              <w:spacing w:line="500" w:lineRule="exact"/>
              <w:ind w:firstLine="480" w:firstLineChars="200"/>
              <w:rPr>
                <w:rFonts w:hint="default"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③</w:t>
            </w:r>
            <w:r>
              <w:rPr>
                <w:rFonts w:hint="eastAsia" w:ascii="Calibri" w:hAnsi="Calibri" w:cs="Calibri"/>
                <w:color w:val="auto"/>
                <w:sz w:val="24"/>
                <w:highlight w:val="none"/>
                <w:lang w:val="en-US" w:eastAsia="zh-CN"/>
              </w:rPr>
              <w:t>新华路厂区现有项目无组织废气排放情况</w:t>
            </w:r>
          </w:p>
          <w:p>
            <w:pPr>
              <w:adjustRightInd w:val="0"/>
              <w:snapToGrid w:val="0"/>
              <w:spacing w:line="500" w:lineRule="exact"/>
              <w:ind w:firstLine="480" w:firstLineChars="200"/>
              <w:rPr>
                <w:rFonts w:hint="default" w:cs="Times New Roman"/>
                <w:color w:val="auto"/>
                <w:sz w:val="24"/>
                <w:highlight w:val="none"/>
                <w:lang w:val="en-US" w:eastAsia="zh-CN"/>
              </w:rPr>
            </w:pPr>
            <w:r>
              <w:rPr>
                <w:rFonts w:hint="eastAsia" w:cs="Times New Roman"/>
                <w:color w:val="auto"/>
                <w:sz w:val="24"/>
                <w:highlight w:val="none"/>
                <w:lang w:val="en-US" w:eastAsia="zh-CN"/>
              </w:rPr>
              <w:t>根据由无锡环净检测技术有限公司于2022年3月8日出具的例行监测报告（报告编号：HJJC220242）和无锡环净检测技术有限公司于2022年3月14日出具的验收监测报告（报告编号：HJJC220281），企业无组织废气检测结果如下表所示：</w:t>
            </w:r>
          </w:p>
          <w:p>
            <w:pPr>
              <w:spacing w:line="500" w:lineRule="exact"/>
              <w:jc w:val="center"/>
              <w:rPr>
                <w:rFonts w:hint="eastAsia"/>
                <w:lang w:val="en-US" w:eastAsia="zh-CN"/>
              </w:rPr>
            </w:pPr>
            <w:r>
              <w:rPr>
                <w:rFonts w:hint="default" w:ascii="Times New Roman" w:hAnsi="Times New Roman" w:eastAsia="宋体" w:cs="Times New Roman"/>
                <w:b/>
                <w:color w:val="auto"/>
                <w:spacing w:val="-2"/>
                <w:sz w:val="24"/>
                <w:highlight w:val="none"/>
              </w:rPr>
              <w:t>表2-</w:t>
            </w:r>
            <w:r>
              <w:rPr>
                <w:rFonts w:hint="eastAsia" w:cs="Times New Roman"/>
                <w:b/>
                <w:color w:val="auto"/>
                <w:spacing w:val="-2"/>
                <w:sz w:val="24"/>
                <w:highlight w:val="none"/>
                <w:lang w:val="en-US" w:eastAsia="zh-CN"/>
              </w:rPr>
              <w:t xml:space="preserve">11  </w:t>
            </w:r>
            <w:r>
              <w:rPr>
                <w:rFonts w:hint="default" w:ascii="Times New Roman" w:hAnsi="Times New Roman" w:eastAsia="宋体" w:cs="Times New Roman"/>
                <w:b/>
                <w:color w:val="auto"/>
                <w:spacing w:val="-2"/>
                <w:sz w:val="24"/>
                <w:highlight w:val="none"/>
              </w:rPr>
              <w:t xml:space="preserve">  </w:t>
            </w:r>
            <w:r>
              <w:rPr>
                <w:rFonts w:hint="default" w:ascii="Times New Roman" w:hAnsi="Times New Roman" w:eastAsia="宋体" w:cs="Times New Roman"/>
                <w:b/>
                <w:color w:val="auto"/>
                <w:spacing w:val="-2"/>
                <w:sz w:val="24"/>
                <w:highlight w:val="none"/>
                <w:lang w:val="en-US" w:eastAsia="zh-CN"/>
              </w:rPr>
              <w:t>新华路厂区</w:t>
            </w:r>
            <w:r>
              <w:rPr>
                <w:rFonts w:hint="default" w:ascii="Times New Roman" w:hAnsi="Times New Roman" w:eastAsia="宋体" w:cs="Times New Roman"/>
                <w:b/>
                <w:color w:val="auto"/>
                <w:spacing w:val="-2"/>
                <w:sz w:val="24"/>
                <w:highlight w:val="none"/>
              </w:rPr>
              <w:t>现有项目</w:t>
            </w:r>
            <w:r>
              <w:rPr>
                <w:rFonts w:hint="eastAsia" w:cs="Times New Roman"/>
                <w:b/>
                <w:color w:val="auto"/>
                <w:spacing w:val="-2"/>
                <w:sz w:val="24"/>
                <w:highlight w:val="none"/>
                <w:lang w:val="en-US" w:eastAsia="zh-CN"/>
              </w:rPr>
              <w:t>无组织</w:t>
            </w:r>
            <w:r>
              <w:rPr>
                <w:rFonts w:hint="default" w:ascii="Times New Roman" w:hAnsi="Times New Roman" w:eastAsia="宋体" w:cs="Times New Roman"/>
                <w:b/>
                <w:color w:val="auto"/>
                <w:spacing w:val="-2"/>
                <w:sz w:val="24"/>
                <w:highlight w:val="none"/>
              </w:rPr>
              <w:t>废气污染物排放情况</w:t>
            </w:r>
            <w:r>
              <w:rPr>
                <w:rFonts w:hint="eastAsia" w:cs="Times New Roman"/>
                <w:b/>
                <w:color w:val="auto"/>
                <w:spacing w:val="-2"/>
                <w:sz w:val="24"/>
                <w:highlight w:val="none"/>
                <w:lang w:val="en-US" w:eastAsia="zh-CN"/>
              </w:rPr>
              <w:t>监测</w:t>
            </w:r>
            <w:r>
              <w:rPr>
                <w:rFonts w:hint="default" w:ascii="Times New Roman" w:hAnsi="Times New Roman" w:eastAsia="宋体" w:cs="Times New Roman"/>
                <w:b/>
                <w:color w:val="auto"/>
                <w:spacing w:val="-2"/>
                <w:sz w:val="24"/>
                <w:highlight w:val="none"/>
              </w:rPr>
              <w:t>汇总表</w:t>
            </w:r>
          </w:p>
          <w:tbl>
            <w:tblPr>
              <w:tblStyle w:val="22"/>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608"/>
              <w:gridCol w:w="824"/>
              <w:gridCol w:w="877"/>
              <w:gridCol w:w="877"/>
              <w:gridCol w:w="877"/>
              <w:gridCol w:w="877"/>
              <w:gridCol w:w="877"/>
              <w:gridCol w:w="877"/>
              <w:gridCol w:w="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8" w:type="pct"/>
                  <w:vMerge w:val="restart"/>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r>
                    <w:rPr>
                      <w:rFonts w:hint="eastAsia"/>
                      <w:sz w:val="21"/>
                      <w:szCs w:val="21"/>
                      <w:vertAlign w:val="baseline"/>
                      <w:lang w:val="en-US" w:eastAsia="zh-CN"/>
                    </w:rPr>
                    <w:t>监测</w:t>
                  </w:r>
                </w:p>
                <w:p>
                  <w:pPr>
                    <w:pStyle w:val="2"/>
                    <w:spacing w:before="0" w:after="0" w:line="240" w:lineRule="auto"/>
                    <w:ind w:right="0"/>
                    <w:jc w:val="center"/>
                    <w:rPr>
                      <w:rFonts w:hint="eastAsia"/>
                      <w:sz w:val="21"/>
                      <w:szCs w:val="21"/>
                      <w:vertAlign w:val="baseline"/>
                      <w:lang w:val="en-US" w:eastAsia="zh-CN"/>
                    </w:rPr>
                  </w:pPr>
                  <w:r>
                    <w:rPr>
                      <w:rFonts w:hint="eastAsia"/>
                      <w:sz w:val="21"/>
                      <w:szCs w:val="21"/>
                      <w:vertAlign w:val="baseline"/>
                      <w:lang w:val="en-US" w:eastAsia="zh-CN"/>
                    </w:rPr>
                    <w:t>日期</w:t>
                  </w:r>
                </w:p>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（2022年）</w:t>
                  </w:r>
                </w:p>
              </w:tc>
              <w:tc>
                <w:tcPr>
                  <w:tcW w:w="353" w:type="pct"/>
                  <w:vMerge w:val="restart"/>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r>
                    <w:rPr>
                      <w:rFonts w:hint="eastAsia"/>
                      <w:sz w:val="21"/>
                      <w:szCs w:val="21"/>
                      <w:vertAlign w:val="baseline"/>
                      <w:lang w:val="en-US" w:eastAsia="zh-CN"/>
                    </w:rPr>
                    <w:t>监测</w:t>
                  </w:r>
                </w:p>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项目</w:t>
                  </w:r>
                </w:p>
              </w:tc>
              <w:tc>
                <w:tcPr>
                  <w:tcW w:w="478" w:type="pct"/>
                  <w:vMerge w:val="restart"/>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r>
                    <w:rPr>
                      <w:rFonts w:hint="eastAsia"/>
                      <w:sz w:val="21"/>
                      <w:szCs w:val="21"/>
                      <w:vertAlign w:val="baseline"/>
                      <w:lang w:val="en-US" w:eastAsia="zh-CN"/>
                    </w:rPr>
                    <w:t>监测</w:t>
                  </w:r>
                </w:p>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频次</w:t>
                  </w:r>
                </w:p>
              </w:tc>
              <w:tc>
                <w:tcPr>
                  <w:tcW w:w="3569" w:type="pct"/>
                  <w:gridSpan w:val="7"/>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r>
                    <w:rPr>
                      <w:rFonts w:hint="eastAsia"/>
                      <w:sz w:val="21"/>
                      <w:szCs w:val="21"/>
                      <w:vertAlign w:val="baseline"/>
                      <w:lang w:val="en-US" w:eastAsia="zh-CN"/>
                    </w:rPr>
                    <w:t>监测结果（mg/m</w:t>
                  </w:r>
                  <w:r>
                    <w:rPr>
                      <w:rFonts w:hint="eastAsia"/>
                      <w:sz w:val="21"/>
                      <w:szCs w:val="21"/>
                      <w:vertAlign w:val="superscript"/>
                      <w:lang w:val="en-US" w:eastAsia="zh-CN"/>
                    </w:rPr>
                    <w:t>3</w:t>
                  </w:r>
                  <w:r>
                    <w:rPr>
                      <w:rFonts w:hint="eastAsia"/>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598"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35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478"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G1</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G2</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G3</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G4</w:t>
                  </w:r>
                </w:p>
              </w:tc>
              <w:tc>
                <w:tcPr>
                  <w:tcW w:w="509" w:type="pct"/>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r>
                    <w:rPr>
                      <w:rFonts w:hint="eastAsia"/>
                      <w:sz w:val="21"/>
                      <w:szCs w:val="21"/>
                      <w:vertAlign w:val="baseline"/>
                      <w:lang w:val="en-US" w:eastAsia="zh-CN"/>
                    </w:rPr>
                    <w:t>浓度</w:t>
                  </w:r>
                </w:p>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最大值</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限值</w:t>
                  </w:r>
                </w:p>
              </w:tc>
              <w:tc>
                <w:tcPr>
                  <w:tcW w:w="513"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vMerge w:val="restar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2.22</w:t>
                  </w:r>
                </w:p>
              </w:tc>
              <w:tc>
                <w:tcPr>
                  <w:tcW w:w="353" w:type="pct"/>
                  <w:vMerge w:val="restar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氨</w:t>
                  </w: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第一次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0.07</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0.07</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0.07</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0.07</w:t>
                  </w:r>
                </w:p>
              </w:tc>
              <w:tc>
                <w:tcPr>
                  <w:tcW w:w="509" w:type="pct"/>
                  <w:vMerge w:val="restar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0.07</w:t>
                  </w:r>
                </w:p>
              </w:tc>
              <w:tc>
                <w:tcPr>
                  <w:tcW w:w="509" w:type="pct"/>
                  <w:vMerge w:val="restar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1.0</w:t>
                  </w:r>
                </w:p>
              </w:tc>
              <w:tc>
                <w:tcPr>
                  <w:tcW w:w="513" w:type="pct"/>
                  <w:vMerge w:val="restar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35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第二次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0.06</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0.07</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0.07</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0.06</w:t>
                  </w: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1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35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第三次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0.04</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0.04</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0.05</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0.06</w:t>
                  </w: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1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8" w:type="pct"/>
                  <w:vMerge w:val="restar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3.7</w:t>
                  </w:r>
                </w:p>
              </w:tc>
              <w:tc>
                <w:tcPr>
                  <w:tcW w:w="353" w:type="pct"/>
                  <w:vMerge w:val="restar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非甲烷总烃</w:t>
                  </w: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第一次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0.46</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0.58</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0.58</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0.56</w:t>
                  </w:r>
                </w:p>
              </w:tc>
              <w:tc>
                <w:tcPr>
                  <w:tcW w:w="509" w:type="pct"/>
                  <w:vMerge w:val="restar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1.11</w:t>
                  </w:r>
                </w:p>
              </w:tc>
              <w:tc>
                <w:tcPr>
                  <w:tcW w:w="509" w:type="pct"/>
                  <w:vMerge w:val="restar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4.0</w:t>
                  </w:r>
                </w:p>
              </w:tc>
              <w:tc>
                <w:tcPr>
                  <w:tcW w:w="513" w:type="pct"/>
                  <w:vMerge w:val="restar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8"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35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第二次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0.47</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0.59</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0.58</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0.56</w:t>
                  </w: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1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8"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35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第三次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0.48</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0.62</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0.66</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0.58</w:t>
                  </w: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1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8" w:type="pct"/>
                  <w:vMerge w:val="restar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3.8</w:t>
                  </w:r>
                </w:p>
              </w:tc>
              <w:tc>
                <w:tcPr>
                  <w:tcW w:w="353" w:type="pct"/>
                  <w:vMerge w:val="restar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非甲烷总烃</w:t>
                  </w: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第一次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0.43</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0.82</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0.80</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0.94</w:t>
                  </w: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1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8" w:type="pct"/>
                  <w:vMerge w:val="continue"/>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p>
              </w:tc>
              <w:tc>
                <w:tcPr>
                  <w:tcW w:w="353" w:type="pct"/>
                  <w:vMerge w:val="continue"/>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第二次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0.44</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0.82</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0.87</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1.08</w:t>
                  </w: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1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8" w:type="pct"/>
                  <w:vMerge w:val="continue"/>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p>
              </w:tc>
              <w:tc>
                <w:tcPr>
                  <w:tcW w:w="353" w:type="pct"/>
                  <w:vMerge w:val="continue"/>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第三次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0.46</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0.82</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0.88</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1.11</w:t>
                  </w: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1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8" w:type="pct"/>
                  <w:vMerge w:val="restar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3.7</w:t>
                  </w:r>
                </w:p>
              </w:tc>
              <w:tc>
                <w:tcPr>
                  <w:tcW w:w="353" w:type="pct"/>
                  <w:vMerge w:val="restar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颗粒物</w:t>
                  </w: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第一次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0.033</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0.167</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0.083</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0.1</w:t>
                  </w:r>
                </w:p>
              </w:tc>
              <w:tc>
                <w:tcPr>
                  <w:tcW w:w="509" w:type="pct"/>
                  <w:vMerge w:val="restar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0.167</w:t>
                  </w:r>
                </w:p>
              </w:tc>
              <w:tc>
                <w:tcPr>
                  <w:tcW w:w="509" w:type="pct"/>
                  <w:vMerge w:val="restar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0.5</w:t>
                  </w:r>
                </w:p>
              </w:tc>
              <w:tc>
                <w:tcPr>
                  <w:tcW w:w="513" w:type="pct"/>
                  <w:vMerge w:val="restar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8" w:type="pct"/>
                  <w:vMerge w:val="continue"/>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p>
              </w:tc>
              <w:tc>
                <w:tcPr>
                  <w:tcW w:w="353" w:type="pct"/>
                  <w:vMerge w:val="continue"/>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第二次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0.017</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0.033</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0.100</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0.167</w:t>
                  </w: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1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8" w:type="pct"/>
                  <w:vMerge w:val="continue"/>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p>
              </w:tc>
              <w:tc>
                <w:tcPr>
                  <w:tcW w:w="353" w:type="pct"/>
                  <w:vMerge w:val="continue"/>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第三次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0.033</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0.067</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0.117</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0.100</w:t>
                  </w: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1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8" w:type="pct"/>
                  <w:vMerge w:val="restar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3.8</w:t>
                  </w:r>
                </w:p>
              </w:tc>
              <w:tc>
                <w:tcPr>
                  <w:tcW w:w="353" w:type="pct"/>
                  <w:vMerge w:val="restar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颗粒物</w:t>
                  </w: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第一次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0.017</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0.033</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0.033</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0.033</w:t>
                  </w: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1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8" w:type="pct"/>
                  <w:vMerge w:val="continue"/>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p>
              </w:tc>
              <w:tc>
                <w:tcPr>
                  <w:tcW w:w="353" w:type="pct"/>
                  <w:vMerge w:val="continue"/>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第二次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0.033</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0.033</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0.033</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0.067</w:t>
                  </w: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1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8" w:type="pct"/>
                  <w:vMerge w:val="continue"/>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p>
              </w:tc>
              <w:tc>
                <w:tcPr>
                  <w:tcW w:w="353" w:type="pct"/>
                  <w:vMerge w:val="continue"/>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p>
              </w:tc>
              <w:tc>
                <w:tcPr>
                  <w:tcW w:w="478" w:type="pct"/>
                  <w:tcMar>
                    <w:top w:w="0" w:type="dxa"/>
                    <w:left w:w="0" w:type="dxa"/>
                    <w:bottom w:w="0" w:type="dxa"/>
                    <w:right w:w="0" w:type="dxa"/>
                  </w:tcMar>
                  <w:vAlign w:val="center"/>
                </w:tcPr>
                <w:p>
                  <w:pPr>
                    <w:pStyle w:val="2"/>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第三次</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0.033</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0.033</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0.017</w:t>
                  </w:r>
                </w:p>
              </w:tc>
              <w:tc>
                <w:tcPr>
                  <w:tcW w:w="509" w:type="pct"/>
                  <w:tcMar>
                    <w:top w:w="0" w:type="dxa"/>
                    <w:left w:w="0" w:type="dxa"/>
                    <w:bottom w:w="0" w:type="dxa"/>
                    <w:right w:w="0" w:type="dxa"/>
                  </w:tcMar>
                  <w:vAlign w:val="center"/>
                </w:tcPr>
                <w:p>
                  <w:pPr>
                    <w:pStyle w:val="2"/>
                    <w:spacing w:before="0" w:after="0" w:line="240" w:lineRule="auto"/>
                    <w:ind w:right="0"/>
                    <w:jc w:val="center"/>
                    <w:rPr>
                      <w:rFonts w:hint="default"/>
                      <w:sz w:val="21"/>
                      <w:szCs w:val="21"/>
                      <w:vertAlign w:val="baseline"/>
                      <w:lang w:val="en-US" w:eastAsia="zh-CN"/>
                    </w:rPr>
                  </w:pPr>
                  <w:r>
                    <w:rPr>
                      <w:rFonts w:hint="eastAsia"/>
                      <w:sz w:val="21"/>
                      <w:szCs w:val="21"/>
                      <w:vertAlign w:val="baseline"/>
                      <w:lang w:val="en-US" w:eastAsia="zh-CN"/>
                    </w:rPr>
                    <w:t>0.033</w:t>
                  </w: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09"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c>
                <w:tcPr>
                  <w:tcW w:w="513" w:type="pct"/>
                  <w:vMerge w:val="continue"/>
                  <w:tcMar>
                    <w:top w:w="0" w:type="dxa"/>
                    <w:left w:w="0" w:type="dxa"/>
                    <w:bottom w:w="0" w:type="dxa"/>
                    <w:right w:w="0" w:type="dxa"/>
                  </w:tcMar>
                  <w:vAlign w:val="center"/>
                </w:tcPr>
                <w:p>
                  <w:pPr>
                    <w:pStyle w:val="2"/>
                    <w:spacing w:before="0" w:after="0" w:line="240" w:lineRule="auto"/>
                    <w:ind w:right="0"/>
                    <w:jc w:val="center"/>
                    <w:rPr>
                      <w:rFonts w:hint="eastAsia"/>
                      <w:sz w:val="21"/>
                      <w:szCs w:val="21"/>
                      <w:vertAlign w:val="baseline"/>
                      <w:lang w:val="en-US" w:eastAsia="zh-CN"/>
                    </w:rPr>
                  </w:pPr>
                </w:p>
              </w:tc>
            </w:tr>
          </w:tbl>
          <w:p>
            <w:pPr>
              <w:adjustRightInd w:val="0"/>
              <w:snapToGrid w:val="0"/>
              <w:spacing w:line="500" w:lineRule="exact"/>
              <w:ind w:firstLine="482"/>
              <w:rPr>
                <w:rFonts w:hint="default" w:ascii="Times New Roman" w:hAnsi="Times New Roman" w:eastAsia="宋体" w:cs="Times New Roman"/>
                <w:color w:val="auto"/>
                <w:spacing w:val="-2"/>
                <w:sz w:val="24"/>
                <w:highlight w:val="none"/>
              </w:rPr>
            </w:pPr>
            <w:r>
              <w:rPr>
                <w:rFonts w:hint="eastAsia" w:cs="Times New Roman"/>
                <w:b w:val="0"/>
                <w:snapToGrid/>
                <w:color w:val="auto"/>
                <w:kern w:val="2"/>
                <w:sz w:val="24"/>
                <w:highlight w:val="none"/>
                <w:lang w:val="en-US" w:eastAsia="zh-CN"/>
              </w:rPr>
              <w:t>由上表可知，现有项目无组织排放的非甲烷总烃、颗粒物满足</w:t>
            </w:r>
            <w:r>
              <w:rPr>
                <w:rFonts w:hint="default" w:ascii="Times New Roman" w:hAnsi="Times New Roman" w:eastAsia="宋体" w:cs="Times New Roman"/>
                <w:color w:val="auto"/>
                <w:sz w:val="24"/>
                <w:highlight w:val="none"/>
              </w:rPr>
              <w:t>江苏省《大气污染物综合排放标准》（DB32/4041-2021）</w:t>
            </w:r>
            <w:r>
              <w:rPr>
                <w:rFonts w:hint="eastAsia" w:cs="Times New Roman"/>
                <w:color w:val="auto"/>
                <w:sz w:val="24"/>
                <w:highlight w:val="none"/>
                <w:lang w:val="en-US" w:eastAsia="zh-CN"/>
              </w:rPr>
              <w:t>表3中排放限值要求</w:t>
            </w:r>
            <w:r>
              <w:rPr>
                <w:rFonts w:hint="default" w:ascii="Times New Roman" w:hAnsi="Times New Roman" w:eastAsia="宋体" w:cs="Times New Roman"/>
                <w:color w:val="auto"/>
                <w:sz w:val="24"/>
                <w:highlight w:val="none"/>
              </w:rPr>
              <w:t>。</w:t>
            </w:r>
            <w:r>
              <w:rPr>
                <w:rFonts w:hint="eastAsia"/>
                <w:lang w:val="en-US" w:eastAsia="zh-CN"/>
              </w:rPr>
              <w:t>无组织排放的氨满足</w:t>
            </w:r>
            <w:r>
              <w:rPr>
                <w:rFonts w:hint="eastAsia" w:cs="Times New Roman"/>
                <w:color w:val="auto"/>
                <w:spacing w:val="-2"/>
                <w:sz w:val="24"/>
                <w:highlight w:val="none"/>
                <w:lang w:eastAsia="zh-CN"/>
              </w:rPr>
              <w:t>《</w:t>
            </w:r>
            <w:r>
              <w:rPr>
                <w:rFonts w:hint="default" w:ascii="Times New Roman" w:hAnsi="Times New Roman" w:eastAsia="宋体" w:cs="Times New Roman"/>
                <w:color w:val="auto"/>
                <w:spacing w:val="-2"/>
                <w:sz w:val="24"/>
                <w:highlight w:val="none"/>
              </w:rPr>
              <w:t>恶臭</w:t>
            </w:r>
            <w:r>
              <w:rPr>
                <w:rFonts w:hint="eastAsia" w:cs="Times New Roman"/>
                <w:color w:val="auto"/>
                <w:spacing w:val="-2"/>
                <w:sz w:val="24"/>
                <w:highlight w:val="none"/>
                <w:lang w:eastAsia="zh-CN"/>
              </w:rPr>
              <w:t>（</w:t>
            </w:r>
            <w:r>
              <w:rPr>
                <w:rFonts w:hint="eastAsia" w:cs="Times New Roman"/>
                <w:color w:val="auto"/>
                <w:spacing w:val="-2"/>
                <w:sz w:val="24"/>
                <w:highlight w:val="none"/>
                <w:lang w:val="en-US" w:eastAsia="zh-CN"/>
              </w:rPr>
              <w:t>异味</w:t>
            </w:r>
            <w:r>
              <w:rPr>
                <w:rFonts w:hint="eastAsia" w:cs="Times New Roman"/>
                <w:color w:val="auto"/>
                <w:spacing w:val="-2"/>
                <w:sz w:val="24"/>
                <w:highlight w:val="none"/>
                <w:lang w:eastAsia="zh-CN"/>
              </w:rPr>
              <w:t>）</w:t>
            </w:r>
            <w:r>
              <w:rPr>
                <w:rFonts w:hint="default" w:ascii="Times New Roman" w:hAnsi="Times New Roman" w:eastAsia="宋体" w:cs="Times New Roman"/>
                <w:color w:val="auto"/>
                <w:spacing w:val="-2"/>
                <w:sz w:val="24"/>
                <w:highlight w:val="none"/>
              </w:rPr>
              <w:t>污染控制标准</w:t>
            </w:r>
            <w:r>
              <w:rPr>
                <w:rFonts w:hint="eastAsia" w:cs="Times New Roman"/>
                <w:color w:val="auto"/>
                <w:spacing w:val="-2"/>
                <w:sz w:val="24"/>
                <w:highlight w:val="none"/>
                <w:lang w:eastAsia="zh-CN"/>
              </w:rPr>
              <w:t>》（</w:t>
            </w:r>
            <w:r>
              <w:rPr>
                <w:rFonts w:hint="default"/>
                <w:color w:val="auto"/>
                <w:spacing w:val="-2"/>
                <w:sz w:val="24"/>
                <w:highlight w:val="none"/>
              </w:rPr>
              <w:t>DB31/1025—2016</w:t>
            </w:r>
            <w:r>
              <w:rPr>
                <w:rFonts w:hint="eastAsia"/>
                <w:color w:val="auto"/>
                <w:spacing w:val="-2"/>
                <w:sz w:val="24"/>
                <w:highlight w:val="none"/>
                <w:lang w:eastAsia="zh-CN"/>
              </w:rPr>
              <w:t>）</w:t>
            </w:r>
            <w:r>
              <w:rPr>
                <w:rFonts w:hint="eastAsia"/>
                <w:color w:val="auto"/>
                <w:spacing w:val="-2"/>
                <w:sz w:val="24"/>
                <w:highlight w:val="none"/>
                <w:lang w:val="en-US" w:eastAsia="zh-CN"/>
              </w:rPr>
              <w:t>表2中排放限值要求</w:t>
            </w:r>
            <w:r>
              <w:rPr>
                <w:rFonts w:hint="default" w:ascii="Times New Roman" w:hAnsi="Times New Roman" w:eastAsia="宋体" w:cs="Times New Roman"/>
                <w:color w:val="auto"/>
                <w:spacing w:val="-2"/>
                <w:sz w:val="24"/>
                <w:highlight w:val="none"/>
              </w:rPr>
              <w:t>。</w:t>
            </w:r>
          </w:p>
          <w:p>
            <w:pPr>
              <w:adjustRightInd w:val="0"/>
              <w:snapToGrid w:val="0"/>
              <w:spacing w:line="500" w:lineRule="exact"/>
              <w:ind w:firstLine="480"/>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（2）废水</w:t>
            </w:r>
          </w:p>
          <w:p>
            <w:pPr>
              <w:adjustRightInd w:val="0"/>
              <w:snapToGrid w:val="0"/>
              <w:spacing w:line="500" w:lineRule="exact"/>
              <w:ind w:firstLine="482"/>
              <w:jc w:val="left"/>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新华路厂区现有项目废水情况见表2-12。</w:t>
            </w:r>
          </w:p>
          <w:p>
            <w:pPr>
              <w:pStyle w:val="2"/>
              <w:spacing w:before="0" w:after="0" w:line="500" w:lineRule="exact"/>
              <w:ind w:right="0"/>
              <w:jc w:val="center"/>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表2-12   新华路厂区现有项目废水污染物情况汇总表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197"/>
              <w:gridCol w:w="1595"/>
              <w:gridCol w:w="1517"/>
              <w:gridCol w:w="1164"/>
              <w:gridCol w:w="2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1192" w:type="pct"/>
                  <w:gridSpan w:val="2"/>
                  <w:vAlign w:val="center"/>
                </w:tcPr>
                <w:p>
                  <w:pPr>
                    <w:pStyle w:val="2"/>
                    <w:spacing w:before="0" w:after="0" w:line="240" w:lineRule="auto"/>
                    <w:ind w:right="0"/>
                    <w:jc w:val="center"/>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污染源</w:t>
                  </w:r>
                </w:p>
              </w:tc>
              <w:tc>
                <w:tcPr>
                  <w:tcW w:w="925" w:type="pct"/>
                  <w:vAlign w:val="center"/>
                </w:tcPr>
                <w:p>
                  <w:pPr>
                    <w:pStyle w:val="2"/>
                    <w:spacing w:before="0" w:after="0" w:line="240" w:lineRule="auto"/>
                    <w:ind w:right="0"/>
                    <w:jc w:val="center"/>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污染因子</w:t>
                  </w:r>
                </w:p>
              </w:tc>
              <w:tc>
                <w:tcPr>
                  <w:tcW w:w="880" w:type="pct"/>
                  <w:vAlign w:val="center"/>
                </w:tcPr>
                <w:p>
                  <w:pPr>
                    <w:pStyle w:val="2"/>
                    <w:spacing w:before="0" w:after="0" w:line="240" w:lineRule="auto"/>
                    <w:ind w:right="0"/>
                    <w:jc w:val="center"/>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处理设施</w:t>
                  </w:r>
                </w:p>
              </w:tc>
              <w:tc>
                <w:tcPr>
                  <w:tcW w:w="675" w:type="pct"/>
                  <w:vAlign w:val="center"/>
                </w:tcPr>
                <w:p>
                  <w:pPr>
                    <w:pStyle w:val="2"/>
                    <w:spacing w:before="0" w:after="0" w:line="240" w:lineRule="auto"/>
                    <w:ind w:right="0"/>
                    <w:jc w:val="center"/>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排放量（t/a）</w:t>
                  </w:r>
                </w:p>
              </w:tc>
              <w:tc>
                <w:tcPr>
                  <w:tcW w:w="1326" w:type="pct"/>
                  <w:vAlign w:val="center"/>
                </w:tcPr>
                <w:p>
                  <w:pPr>
                    <w:pStyle w:val="2"/>
                    <w:spacing w:before="0" w:after="0" w:line="240" w:lineRule="auto"/>
                    <w:ind w:right="0"/>
                    <w:jc w:val="center"/>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92" w:type="pct"/>
                  <w:gridSpan w:val="2"/>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生活污水</w:t>
                  </w:r>
                </w:p>
              </w:tc>
              <w:tc>
                <w:tcPr>
                  <w:tcW w:w="925"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COD、SS、氨氮、总磷、总氮、动植物油、石油类</w:t>
                  </w:r>
                </w:p>
              </w:tc>
              <w:tc>
                <w:tcPr>
                  <w:tcW w:w="880"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化粪池/隔油池</w:t>
                  </w:r>
                </w:p>
              </w:tc>
              <w:tc>
                <w:tcPr>
                  <w:tcW w:w="675"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219686</w:t>
                  </w:r>
                </w:p>
              </w:tc>
              <w:tc>
                <w:tcPr>
                  <w:tcW w:w="1326"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接管新城水处理厂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92" w:type="pct"/>
                  <w:gridSpan w:val="2"/>
                  <w:vMerge w:val="restar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制纯废水</w:t>
                  </w:r>
                </w:p>
              </w:tc>
              <w:tc>
                <w:tcPr>
                  <w:tcW w:w="925" w:type="pct"/>
                  <w:vMerge w:val="restar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COD、SS</w:t>
                  </w:r>
                </w:p>
              </w:tc>
              <w:tc>
                <w:tcPr>
                  <w:tcW w:w="880"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w:t>
                  </w:r>
                </w:p>
              </w:tc>
              <w:tc>
                <w:tcPr>
                  <w:tcW w:w="675"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7818.5</w:t>
                  </w:r>
                </w:p>
              </w:tc>
              <w:tc>
                <w:tcPr>
                  <w:tcW w:w="1326"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接管新城水处理厂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92" w:type="pct"/>
                  <w:gridSpan w:val="2"/>
                  <w:vMerge w:val="continue"/>
                  <w:vAlign w:val="center"/>
                </w:tcPr>
                <w:p>
                  <w:pPr>
                    <w:pStyle w:val="2"/>
                    <w:spacing w:before="0" w:after="0" w:line="240" w:lineRule="auto"/>
                    <w:ind w:right="0"/>
                    <w:jc w:val="center"/>
                    <w:rPr>
                      <w:rFonts w:hint="eastAsia" w:cs="Times New Roman"/>
                      <w:color w:val="auto"/>
                      <w:kern w:val="0"/>
                      <w:sz w:val="21"/>
                      <w:szCs w:val="21"/>
                      <w:highlight w:val="none"/>
                      <w:vertAlign w:val="baseline"/>
                      <w:lang w:val="en-US" w:eastAsia="zh-CN"/>
                    </w:rPr>
                  </w:pPr>
                </w:p>
              </w:tc>
              <w:tc>
                <w:tcPr>
                  <w:tcW w:w="925" w:type="pct"/>
                  <w:vMerge w:val="continue"/>
                  <w:vAlign w:val="center"/>
                </w:tcPr>
                <w:p>
                  <w:pPr>
                    <w:pStyle w:val="2"/>
                    <w:spacing w:before="0" w:after="0" w:line="240" w:lineRule="auto"/>
                    <w:ind w:right="0"/>
                    <w:jc w:val="center"/>
                    <w:rPr>
                      <w:rFonts w:hint="eastAsia" w:cs="Times New Roman"/>
                      <w:color w:val="auto"/>
                      <w:kern w:val="0"/>
                      <w:sz w:val="21"/>
                      <w:szCs w:val="21"/>
                      <w:highlight w:val="none"/>
                      <w:vertAlign w:val="baseline"/>
                      <w:lang w:val="en-US" w:eastAsia="zh-CN"/>
                    </w:rPr>
                  </w:pPr>
                </w:p>
              </w:tc>
              <w:tc>
                <w:tcPr>
                  <w:tcW w:w="880"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中水回用系统</w:t>
                  </w:r>
                </w:p>
              </w:tc>
              <w:tc>
                <w:tcPr>
                  <w:tcW w:w="675"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10459</w:t>
                  </w:r>
                </w:p>
              </w:tc>
              <w:tc>
                <w:tcPr>
                  <w:tcW w:w="1326" w:type="pct"/>
                  <w:vMerge w:val="restar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处理后出水回用于动力系统冷却塔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92" w:type="pct"/>
                  <w:gridSpan w:val="2"/>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制软水废水</w:t>
                  </w:r>
                </w:p>
              </w:tc>
              <w:tc>
                <w:tcPr>
                  <w:tcW w:w="925"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COD、SS</w:t>
                  </w:r>
                </w:p>
              </w:tc>
              <w:tc>
                <w:tcPr>
                  <w:tcW w:w="880"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中水回用系统</w:t>
                  </w:r>
                </w:p>
              </w:tc>
              <w:tc>
                <w:tcPr>
                  <w:tcW w:w="675"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6541</w:t>
                  </w:r>
                </w:p>
              </w:tc>
              <w:tc>
                <w:tcPr>
                  <w:tcW w:w="1326" w:type="pct"/>
                  <w:vMerge w:val="continue"/>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92" w:type="pct"/>
                  <w:gridSpan w:val="2"/>
                  <w:vMerge w:val="restar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动力系统冷却塔</w:t>
                  </w:r>
                </w:p>
              </w:tc>
              <w:tc>
                <w:tcPr>
                  <w:tcW w:w="925" w:type="pct"/>
                  <w:vMerge w:val="restar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COD、SS</w:t>
                  </w:r>
                </w:p>
              </w:tc>
              <w:tc>
                <w:tcPr>
                  <w:tcW w:w="880"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中水回用系统</w:t>
                  </w:r>
                </w:p>
              </w:tc>
              <w:tc>
                <w:tcPr>
                  <w:tcW w:w="675"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13000</w:t>
                  </w:r>
                </w:p>
              </w:tc>
              <w:tc>
                <w:tcPr>
                  <w:tcW w:w="1326" w:type="pct"/>
                  <w:vMerge w:val="continue"/>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92" w:type="pct"/>
                  <w:gridSpan w:val="2"/>
                  <w:vMerge w:val="continue"/>
                  <w:vAlign w:val="center"/>
                </w:tcPr>
                <w:p>
                  <w:pPr>
                    <w:pStyle w:val="2"/>
                    <w:spacing w:before="0" w:after="0" w:line="240" w:lineRule="auto"/>
                    <w:ind w:right="0"/>
                    <w:jc w:val="center"/>
                    <w:rPr>
                      <w:rFonts w:hint="eastAsia" w:cs="Times New Roman"/>
                      <w:color w:val="auto"/>
                      <w:kern w:val="0"/>
                      <w:sz w:val="21"/>
                      <w:szCs w:val="21"/>
                      <w:highlight w:val="none"/>
                      <w:vertAlign w:val="baseline"/>
                      <w:lang w:val="en-US" w:eastAsia="zh-CN"/>
                    </w:rPr>
                  </w:pPr>
                </w:p>
              </w:tc>
              <w:tc>
                <w:tcPr>
                  <w:tcW w:w="925" w:type="pct"/>
                  <w:vMerge w:val="continue"/>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p>
              </w:tc>
              <w:tc>
                <w:tcPr>
                  <w:tcW w:w="880"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w:t>
                  </w:r>
                </w:p>
              </w:tc>
              <w:tc>
                <w:tcPr>
                  <w:tcW w:w="675"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7360</w:t>
                  </w:r>
                </w:p>
              </w:tc>
              <w:tc>
                <w:tcPr>
                  <w:tcW w:w="1326"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接管新城水处理厂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92" w:type="pct"/>
                  <w:gridSpan w:val="2"/>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空调系统排水</w:t>
                  </w:r>
                </w:p>
              </w:tc>
              <w:tc>
                <w:tcPr>
                  <w:tcW w:w="925"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COD、SS</w:t>
                  </w:r>
                </w:p>
              </w:tc>
              <w:tc>
                <w:tcPr>
                  <w:tcW w:w="880" w:type="pct"/>
                  <w:vAlign w:val="center"/>
                </w:tcPr>
                <w:p>
                  <w:pPr>
                    <w:pStyle w:val="2"/>
                    <w:spacing w:before="0" w:after="0" w:line="240" w:lineRule="auto"/>
                    <w:ind w:right="0" w:rightChars="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w:t>
                  </w:r>
                </w:p>
              </w:tc>
              <w:tc>
                <w:tcPr>
                  <w:tcW w:w="675" w:type="pct"/>
                  <w:vAlign w:val="center"/>
                </w:tcPr>
                <w:p>
                  <w:pPr>
                    <w:pStyle w:val="2"/>
                    <w:spacing w:before="0" w:after="0" w:line="240" w:lineRule="auto"/>
                    <w:ind w:right="0" w:rightChars="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200</w:t>
                  </w:r>
                </w:p>
              </w:tc>
              <w:tc>
                <w:tcPr>
                  <w:tcW w:w="1326" w:type="pct"/>
                  <w:vAlign w:val="center"/>
                </w:tcPr>
                <w:p>
                  <w:pPr>
                    <w:pStyle w:val="2"/>
                    <w:spacing w:before="0" w:after="0" w:line="240" w:lineRule="auto"/>
                    <w:ind w:right="0" w:rightChars="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接管新城水处理厂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8" w:type="pct"/>
                  <w:vMerge w:val="restar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中水回用系统</w:t>
                  </w:r>
                </w:p>
              </w:tc>
              <w:tc>
                <w:tcPr>
                  <w:tcW w:w="694"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UF超滤系统废水</w:t>
                  </w:r>
                </w:p>
              </w:tc>
              <w:tc>
                <w:tcPr>
                  <w:tcW w:w="925" w:type="pct"/>
                  <w:vMerge w:val="restar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COD、SS</w:t>
                  </w:r>
                </w:p>
              </w:tc>
              <w:tc>
                <w:tcPr>
                  <w:tcW w:w="880" w:type="pct"/>
                  <w:vMerge w:val="restart"/>
                  <w:vAlign w:val="center"/>
                </w:tcPr>
                <w:p>
                  <w:pPr>
                    <w:pStyle w:val="2"/>
                    <w:spacing w:before="0" w:after="0" w:line="240" w:lineRule="auto"/>
                    <w:ind w:right="0" w:rightChars="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w:t>
                  </w:r>
                </w:p>
              </w:tc>
              <w:tc>
                <w:tcPr>
                  <w:tcW w:w="675" w:type="pct"/>
                  <w:vAlign w:val="center"/>
                </w:tcPr>
                <w:p>
                  <w:pPr>
                    <w:pStyle w:val="2"/>
                    <w:spacing w:before="0" w:after="0" w:line="240" w:lineRule="auto"/>
                    <w:ind w:right="0" w:rightChars="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2850</w:t>
                  </w:r>
                </w:p>
              </w:tc>
              <w:tc>
                <w:tcPr>
                  <w:tcW w:w="1326" w:type="pct"/>
                  <w:vMerge w:val="restart"/>
                  <w:vAlign w:val="center"/>
                </w:tcPr>
                <w:p>
                  <w:pPr>
                    <w:pStyle w:val="2"/>
                    <w:spacing w:before="0" w:after="0" w:line="240" w:lineRule="auto"/>
                    <w:ind w:right="0" w:rightChars="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接管新城水处理厂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8" w:type="pct"/>
                  <w:vMerge w:val="continue"/>
                  <w:vAlign w:val="center"/>
                </w:tcPr>
                <w:p>
                  <w:pPr>
                    <w:pStyle w:val="2"/>
                    <w:spacing w:before="0" w:after="0" w:line="240" w:lineRule="auto"/>
                    <w:ind w:right="0"/>
                    <w:jc w:val="center"/>
                    <w:rPr>
                      <w:sz w:val="21"/>
                      <w:szCs w:val="21"/>
                    </w:rPr>
                  </w:pPr>
                </w:p>
              </w:tc>
              <w:tc>
                <w:tcPr>
                  <w:tcW w:w="694" w:type="pct"/>
                  <w:vAlign w:val="center"/>
                </w:tcPr>
                <w:p>
                  <w:pPr>
                    <w:pStyle w:val="2"/>
                    <w:spacing w:before="0" w:after="0" w:line="240" w:lineRule="auto"/>
                    <w:ind w:right="0"/>
                    <w:jc w:val="center"/>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RO膜系统废水</w:t>
                  </w:r>
                </w:p>
              </w:tc>
              <w:tc>
                <w:tcPr>
                  <w:tcW w:w="925" w:type="pct"/>
                  <w:vMerge w:val="continue"/>
                  <w:vAlign w:val="center"/>
                </w:tcPr>
                <w:p>
                  <w:pPr>
                    <w:pStyle w:val="2"/>
                    <w:spacing w:before="0" w:after="0" w:line="240" w:lineRule="auto"/>
                    <w:ind w:right="0"/>
                    <w:jc w:val="center"/>
                    <w:rPr>
                      <w:rFonts w:hint="eastAsia" w:cs="Times New Roman"/>
                      <w:color w:val="auto"/>
                      <w:kern w:val="0"/>
                      <w:sz w:val="21"/>
                      <w:szCs w:val="21"/>
                      <w:highlight w:val="none"/>
                      <w:vertAlign w:val="baseline"/>
                      <w:lang w:val="en-US" w:eastAsia="zh-CN"/>
                    </w:rPr>
                  </w:pPr>
                </w:p>
              </w:tc>
              <w:tc>
                <w:tcPr>
                  <w:tcW w:w="880" w:type="pct"/>
                  <w:vMerge w:val="continue"/>
                  <w:vAlign w:val="center"/>
                </w:tcPr>
                <w:p>
                  <w:pPr>
                    <w:pStyle w:val="2"/>
                    <w:spacing w:before="0" w:after="0" w:line="240" w:lineRule="auto"/>
                    <w:ind w:right="0"/>
                    <w:jc w:val="center"/>
                    <w:rPr>
                      <w:rFonts w:hint="eastAsia" w:cs="Times New Roman"/>
                      <w:color w:val="auto"/>
                      <w:kern w:val="0"/>
                      <w:sz w:val="21"/>
                      <w:szCs w:val="21"/>
                      <w:highlight w:val="none"/>
                      <w:vertAlign w:val="baseline"/>
                      <w:lang w:val="en-US" w:eastAsia="zh-CN"/>
                    </w:rPr>
                  </w:pPr>
                </w:p>
              </w:tc>
              <w:tc>
                <w:tcPr>
                  <w:tcW w:w="675"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10514.4</w:t>
                  </w:r>
                </w:p>
              </w:tc>
              <w:tc>
                <w:tcPr>
                  <w:tcW w:w="1326" w:type="pct"/>
                  <w:vMerge w:val="continue"/>
                  <w:vAlign w:val="center"/>
                </w:tcPr>
                <w:p>
                  <w:pPr>
                    <w:pStyle w:val="2"/>
                    <w:spacing w:before="0" w:after="0" w:line="240" w:lineRule="auto"/>
                    <w:ind w:right="0"/>
                    <w:jc w:val="center"/>
                    <w:rPr>
                      <w:rFonts w:hint="eastAsia" w:cs="Times New Roman"/>
                      <w:color w:val="auto"/>
                      <w:kern w:val="0"/>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92" w:type="pct"/>
                  <w:gridSpan w:val="2"/>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含氮磷工艺废水</w:t>
                  </w:r>
                </w:p>
              </w:tc>
              <w:tc>
                <w:tcPr>
                  <w:tcW w:w="925" w:type="pct"/>
                  <w:vAlign w:val="center"/>
                </w:tcPr>
                <w:p>
                  <w:pPr>
                    <w:pStyle w:val="2"/>
                    <w:spacing w:before="0" w:after="0" w:line="240" w:lineRule="auto"/>
                    <w:ind w:right="0"/>
                    <w:jc w:val="center"/>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COD、SS、氨氮、总磷、总氮、石油类</w:t>
                  </w:r>
                </w:p>
              </w:tc>
              <w:tc>
                <w:tcPr>
                  <w:tcW w:w="880"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污水处理站</w:t>
                  </w:r>
                </w:p>
              </w:tc>
              <w:tc>
                <w:tcPr>
                  <w:tcW w:w="675"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20164.6</w:t>
                  </w:r>
                </w:p>
              </w:tc>
              <w:tc>
                <w:tcPr>
                  <w:tcW w:w="1326" w:type="pct"/>
                  <w:vAlign w:val="center"/>
                </w:tcPr>
                <w:p>
                  <w:pPr>
                    <w:pStyle w:val="2"/>
                    <w:spacing w:before="0" w:after="0" w:line="240" w:lineRule="auto"/>
                    <w:ind w:right="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处理后回用，零排放。产生的污水站废液和污泥委托有资质单位处理处置</w:t>
                  </w:r>
                </w:p>
              </w:tc>
            </w:tr>
          </w:tbl>
          <w:p>
            <w:pPr>
              <w:adjustRightInd w:val="0"/>
              <w:snapToGrid w:val="0"/>
              <w:spacing w:line="500" w:lineRule="exact"/>
              <w:ind w:firstLine="482"/>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w:t>
            </w:r>
            <w:r>
              <w:rPr>
                <w:rFonts w:hint="eastAsia"/>
                <w:sz w:val="24"/>
                <w:szCs w:val="32"/>
                <w:lang w:val="en-US" w:eastAsia="zh-CN"/>
              </w:rPr>
              <w:t>企业</w:t>
            </w:r>
            <w:r>
              <w:rPr>
                <w:rFonts w:hint="eastAsia" w:cs="Times New Roman"/>
                <w:color w:val="auto"/>
                <w:kern w:val="0"/>
                <w:sz w:val="24"/>
                <w:highlight w:val="none"/>
                <w:lang w:val="en-US" w:eastAsia="zh-CN"/>
              </w:rPr>
              <w:t>最新一期</w:t>
            </w:r>
            <w:r>
              <w:rPr>
                <w:rFonts w:hint="eastAsia"/>
                <w:color w:val="auto"/>
                <w:kern w:val="0"/>
                <w:sz w:val="24"/>
                <w:highlight w:val="none"/>
              </w:rPr>
              <w:t>竣工环境保护验收监测报告</w:t>
            </w:r>
            <w:r>
              <w:rPr>
                <w:rFonts w:hint="default" w:ascii="Times New Roman" w:hAnsi="Times New Roman" w:eastAsia="宋体" w:cs="Times New Roman"/>
                <w:color w:val="auto"/>
                <w:sz w:val="24"/>
                <w:highlight w:val="none"/>
              </w:rPr>
              <w:t>《共轨油嘴产能提升至2000万付项目》，</w:t>
            </w:r>
            <w:r>
              <w:rPr>
                <w:rFonts w:hint="default" w:ascii="Times New Roman" w:hAnsi="Times New Roman" w:eastAsia="宋体" w:cs="Times New Roman"/>
                <w:color w:val="auto"/>
                <w:sz w:val="24"/>
                <w:highlight w:val="none"/>
                <w:lang w:val="en-US" w:eastAsia="zh-CN"/>
              </w:rPr>
              <w:t>现有</w:t>
            </w:r>
            <w:r>
              <w:rPr>
                <w:rFonts w:hint="default" w:ascii="Times New Roman" w:hAnsi="Times New Roman" w:eastAsia="宋体" w:cs="Times New Roman"/>
                <w:color w:val="auto"/>
                <w:kern w:val="0"/>
                <w:sz w:val="24"/>
                <w:highlight w:val="none"/>
              </w:rPr>
              <w:t>项目废水排放情况见表2-</w:t>
            </w:r>
            <w:r>
              <w:rPr>
                <w:rFonts w:hint="eastAsia" w:cs="Times New Roman"/>
                <w:color w:val="auto"/>
                <w:kern w:val="0"/>
                <w:sz w:val="24"/>
                <w:highlight w:val="none"/>
                <w:lang w:val="en-US" w:eastAsia="zh-CN"/>
              </w:rPr>
              <w:t>13</w:t>
            </w:r>
            <w:r>
              <w:rPr>
                <w:rFonts w:hint="default" w:ascii="Times New Roman" w:hAnsi="Times New Roman" w:eastAsia="宋体" w:cs="Times New Roman"/>
                <w:color w:val="auto"/>
                <w:kern w:val="0"/>
                <w:sz w:val="24"/>
                <w:highlight w:val="none"/>
              </w:rPr>
              <w:t>。</w:t>
            </w:r>
          </w:p>
          <w:p>
            <w:pPr>
              <w:spacing w:line="500" w:lineRule="exact"/>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eastAsia" w:cs="Times New Roman"/>
                <w:b/>
                <w:color w:val="auto"/>
                <w:sz w:val="24"/>
                <w:highlight w:val="none"/>
                <w:lang w:val="en-US" w:eastAsia="zh-CN"/>
              </w:rPr>
              <w:t>13</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新华路厂区现有项目</w:t>
            </w:r>
            <w:r>
              <w:rPr>
                <w:rFonts w:hint="default" w:ascii="Times New Roman" w:hAnsi="Times New Roman" w:eastAsia="宋体" w:cs="Times New Roman"/>
                <w:b/>
                <w:color w:val="auto"/>
                <w:sz w:val="24"/>
                <w:highlight w:val="none"/>
              </w:rPr>
              <w:t>废水排放情况一览表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454"/>
              <w:gridCol w:w="1492"/>
              <w:gridCol w:w="1475"/>
              <w:gridCol w:w="1370"/>
              <w:gridCol w:w="1350"/>
              <w:gridCol w:w="6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800" w:type="dxa"/>
                  <w:vMerge w:val="restart"/>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污染源</w:t>
                  </w:r>
                </w:p>
              </w:tc>
              <w:tc>
                <w:tcPr>
                  <w:tcW w:w="1454" w:type="dxa"/>
                  <w:vMerge w:val="restart"/>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污染物名称</w:t>
                  </w:r>
                </w:p>
              </w:tc>
              <w:tc>
                <w:tcPr>
                  <w:tcW w:w="2967" w:type="dxa"/>
                  <w:gridSpan w:val="2"/>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环评</w:t>
                  </w:r>
                </w:p>
              </w:tc>
              <w:tc>
                <w:tcPr>
                  <w:tcW w:w="2720" w:type="dxa"/>
                  <w:gridSpan w:val="2"/>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验收</w:t>
                  </w:r>
                </w:p>
              </w:tc>
              <w:tc>
                <w:tcPr>
                  <w:tcW w:w="674" w:type="dxa"/>
                  <w:vMerge w:val="restart"/>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800" w:type="dxa"/>
                  <w:vMerge w:val="continue"/>
                  <w:noWrap w:val="0"/>
                  <w:vAlign w:val="center"/>
                </w:tcPr>
                <w:p>
                  <w:pPr>
                    <w:jc w:val="center"/>
                    <w:rPr>
                      <w:rFonts w:hint="default" w:ascii="Times New Roman" w:hAnsi="Times New Roman" w:eastAsia="宋体" w:cs="Times New Roman"/>
                      <w:b/>
                      <w:color w:val="auto"/>
                      <w:szCs w:val="21"/>
                      <w:highlight w:val="none"/>
                    </w:rPr>
                  </w:pPr>
                </w:p>
              </w:tc>
              <w:tc>
                <w:tcPr>
                  <w:tcW w:w="1454" w:type="dxa"/>
                  <w:vMerge w:val="continue"/>
                  <w:noWrap w:val="0"/>
                  <w:vAlign w:val="center"/>
                </w:tcPr>
                <w:p>
                  <w:pPr>
                    <w:jc w:val="center"/>
                    <w:rPr>
                      <w:rFonts w:hint="default" w:ascii="Times New Roman" w:hAnsi="Times New Roman" w:eastAsia="宋体" w:cs="Times New Roman"/>
                      <w:b/>
                      <w:color w:val="auto"/>
                      <w:szCs w:val="21"/>
                      <w:highlight w:val="none"/>
                    </w:rPr>
                  </w:pPr>
                </w:p>
              </w:tc>
              <w:tc>
                <w:tcPr>
                  <w:tcW w:w="1492"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排放量(t/a)</w:t>
                  </w:r>
                </w:p>
              </w:tc>
              <w:tc>
                <w:tcPr>
                  <w:tcW w:w="1475"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排放浓度(mg/L)</w:t>
                  </w:r>
                </w:p>
              </w:tc>
              <w:tc>
                <w:tcPr>
                  <w:tcW w:w="1370"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排放量(t/a)</w:t>
                  </w:r>
                </w:p>
              </w:tc>
              <w:tc>
                <w:tcPr>
                  <w:tcW w:w="1350"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排放浓度(mg/L)</w:t>
                  </w:r>
                </w:p>
              </w:tc>
              <w:tc>
                <w:tcPr>
                  <w:tcW w:w="674" w:type="dxa"/>
                  <w:vMerge w:val="continue"/>
                  <w:noWrap w:val="0"/>
                  <w:vAlign w:val="center"/>
                </w:tcPr>
                <w:p>
                  <w:pPr>
                    <w:jc w:val="center"/>
                    <w:rPr>
                      <w:rFonts w:hint="default" w:ascii="Times New Roman" w:hAnsi="Times New Roman" w:eastAsia="宋体" w:cs="Times New Roman"/>
                      <w:b/>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800" w:type="dxa"/>
                  <w:vMerge w:val="restar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混合废水</w:t>
                  </w:r>
                </w:p>
              </w:tc>
              <w:tc>
                <w:tcPr>
                  <w:tcW w:w="1454"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废水量</w:t>
                  </w:r>
                </w:p>
              </w:tc>
              <w:tc>
                <w:tcPr>
                  <w:tcW w:w="14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lang w:val="en-US" w:eastAsia="zh-CN"/>
                    </w:rPr>
                  </w:pPr>
                  <w:r>
                    <w:rPr>
                      <w:rFonts w:hint="default" w:ascii="Times New Roman Regular" w:hAnsi="Times New Roman Regular" w:eastAsia="宋体" w:cs="Times New Roman Regular"/>
                      <w:i w:val="0"/>
                      <w:iCs w:val="0"/>
                      <w:color w:val="auto"/>
                      <w:kern w:val="0"/>
                      <w:sz w:val="22"/>
                      <w:szCs w:val="22"/>
                      <w:u w:val="none"/>
                      <w:lang w:val="en-US" w:eastAsia="zh-CN" w:bidi="ar"/>
                    </w:rPr>
                    <w:t>248428.9</w:t>
                  </w:r>
                </w:p>
              </w:tc>
              <w:tc>
                <w:tcPr>
                  <w:tcW w:w="147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37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126438</w:t>
                  </w:r>
                </w:p>
              </w:tc>
              <w:tc>
                <w:tcPr>
                  <w:tcW w:w="135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74" w:type="dxa"/>
                  <w:vMerge w:val="restar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800"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454"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14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Regular" w:hAnsi="Times New Roman Regular" w:eastAsia="宋体" w:cs="Times New Roman Regular"/>
                      <w:i w:val="0"/>
                      <w:iCs w:val="0"/>
                      <w:color w:val="auto"/>
                      <w:kern w:val="0"/>
                      <w:sz w:val="22"/>
                      <w:szCs w:val="22"/>
                      <w:u w:val="none"/>
                      <w:lang w:val="en-US" w:eastAsia="zh-CN" w:bidi="ar"/>
                    </w:rPr>
                    <w:t>76.8941</w:t>
                  </w:r>
                </w:p>
              </w:tc>
              <w:tc>
                <w:tcPr>
                  <w:tcW w:w="14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309.52 </w:t>
                  </w:r>
                </w:p>
              </w:tc>
              <w:tc>
                <w:tcPr>
                  <w:tcW w:w="137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22.3637</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177</w:t>
                  </w:r>
                </w:p>
              </w:tc>
              <w:tc>
                <w:tcPr>
                  <w:tcW w:w="674" w:type="dxa"/>
                  <w:vMerge w:val="continue"/>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800"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454"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14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Regular" w:hAnsi="Times New Roman Regular" w:eastAsia="宋体" w:cs="Times New Roman Regular"/>
                      <w:i w:val="0"/>
                      <w:iCs w:val="0"/>
                      <w:color w:val="auto"/>
                      <w:kern w:val="0"/>
                      <w:sz w:val="22"/>
                      <w:szCs w:val="22"/>
                      <w:u w:val="none"/>
                      <w:lang w:val="en-US" w:eastAsia="zh-CN" w:bidi="ar"/>
                    </w:rPr>
                    <w:t>44.4462</w:t>
                  </w:r>
                </w:p>
              </w:tc>
              <w:tc>
                <w:tcPr>
                  <w:tcW w:w="14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178.91 </w:t>
                  </w:r>
                </w:p>
              </w:tc>
              <w:tc>
                <w:tcPr>
                  <w:tcW w:w="137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7.6179</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674" w:type="dxa"/>
                  <w:vMerge w:val="continue"/>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800"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454"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氨氮</w:t>
                  </w:r>
                </w:p>
              </w:tc>
              <w:tc>
                <w:tcPr>
                  <w:tcW w:w="14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Regular" w:hAnsi="Times New Roman Regular" w:eastAsia="宋体" w:cs="Times New Roman Regular"/>
                      <w:i w:val="0"/>
                      <w:iCs w:val="0"/>
                      <w:color w:val="auto"/>
                      <w:kern w:val="0"/>
                      <w:sz w:val="22"/>
                      <w:szCs w:val="22"/>
                      <w:u w:val="none"/>
                      <w:lang w:val="en-US" w:eastAsia="zh-CN" w:bidi="ar"/>
                    </w:rPr>
                    <w:t>5.4117</w:t>
                  </w:r>
                </w:p>
              </w:tc>
              <w:tc>
                <w:tcPr>
                  <w:tcW w:w="14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21.78 </w:t>
                  </w:r>
                </w:p>
              </w:tc>
              <w:tc>
                <w:tcPr>
                  <w:tcW w:w="137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2.4608</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674" w:type="dxa"/>
                  <w:vMerge w:val="continue"/>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800"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454"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总磷</w:t>
                  </w:r>
                </w:p>
              </w:tc>
              <w:tc>
                <w:tcPr>
                  <w:tcW w:w="14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Regular" w:hAnsi="Times New Roman Regular" w:eastAsia="宋体" w:cs="Times New Roman Regular"/>
                      <w:i w:val="0"/>
                      <w:iCs w:val="0"/>
                      <w:color w:val="auto"/>
                      <w:kern w:val="0"/>
                      <w:sz w:val="22"/>
                      <w:szCs w:val="22"/>
                      <w:u w:val="none"/>
                      <w:lang w:val="en-US" w:eastAsia="zh-CN" w:bidi="ar"/>
                    </w:rPr>
                    <w:t>0.7974</w:t>
                  </w:r>
                </w:p>
              </w:tc>
              <w:tc>
                <w:tcPr>
                  <w:tcW w:w="14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3.21 </w:t>
                  </w:r>
                </w:p>
              </w:tc>
              <w:tc>
                <w:tcPr>
                  <w:tcW w:w="137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0.2349</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674" w:type="dxa"/>
                  <w:vMerge w:val="continue"/>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800"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454"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总氮</w:t>
                  </w:r>
                </w:p>
              </w:tc>
              <w:tc>
                <w:tcPr>
                  <w:tcW w:w="14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Regular" w:hAnsi="Times New Roman Regular" w:eastAsia="宋体" w:cs="Times New Roman Regular"/>
                      <w:i w:val="0"/>
                      <w:iCs w:val="0"/>
                      <w:color w:val="auto"/>
                      <w:kern w:val="0"/>
                      <w:sz w:val="22"/>
                      <w:szCs w:val="22"/>
                      <w:u w:val="none"/>
                      <w:lang w:val="en-US" w:eastAsia="zh-CN" w:bidi="ar"/>
                    </w:rPr>
                    <w:t>7.9901</w:t>
                  </w:r>
                </w:p>
              </w:tc>
              <w:tc>
                <w:tcPr>
                  <w:tcW w:w="14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32.16 </w:t>
                  </w:r>
                </w:p>
              </w:tc>
              <w:tc>
                <w:tcPr>
                  <w:tcW w:w="137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3.1720</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674" w:type="dxa"/>
                  <w:vMerge w:val="continue"/>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800"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454"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动植物油</w:t>
                  </w:r>
                </w:p>
              </w:tc>
              <w:tc>
                <w:tcPr>
                  <w:tcW w:w="14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Regular" w:hAnsi="Times New Roman Regular" w:eastAsia="宋体" w:cs="Times New Roman Regular"/>
                      <w:i w:val="0"/>
                      <w:iCs w:val="0"/>
                      <w:color w:val="auto"/>
                      <w:kern w:val="0"/>
                      <w:sz w:val="22"/>
                      <w:szCs w:val="22"/>
                      <w:u w:val="none"/>
                      <w:lang w:val="en-US" w:eastAsia="zh-CN" w:bidi="ar"/>
                    </w:rPr>
                    <w:t>5.757</w:t>
                  </w:r>
                </w:p>
              </w:tc>
              <w:tc>
                <w:tcPr>
                  <w:tcW w:w="14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23.17 </w:t>
                  </w:r>
                </w:p>
              </w:tc>
              <w:tc>
                <w:tcPr>
                  <w:tcW w:w="137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0.3539</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674" w:type="dxa"/>
                  <w:vMerge w:val="continue"/>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800"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454"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石油类</w:t>
                  </w:r>
                </w:p>
              </w:tc>
              <w:tc>
                <w:tcPr>
                  <w:tcW w:w="14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Regular" w:hAnsi="Times New Roman Regular" w:eastAsia="宋体" w:cs="Times New Roman Regular"/>
                      <w:i w:val="0"/>
                      <w:iCs w:val="0"/>
                      <w:color w:val="auto"/>
                      <w:kern w:val="0"/>
                      <w:sz w:val="22"/>
                      <w:szCs w:val="22"/>
                      <w:u w:val="none"/>
                      <w:lang w:val="en-US" w:eastAsia="zh-CN" w:bidi="ar"/>
                    </w:rPr>
                    <w:t>0.9575</w:t>
                  </w:r>
                </w:p>
              </w:tc>
              <w:tc>
                <w:tcPr>
                  <w:tcW w:w="14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3.85 </w:t>
                  </w:r>
                </w:p>
              </w:tc>
              <w:tc>
                <w:tcPr>
                  <w:tcW w:w="137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0.1269</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674" w:type="dxa"/>
                  <w:vMerge w:val="continue"/>
                  <w:noWrap w:val="0"/>
                  <w:vAlign w:val="center"/>
                </w:tcPr>
                <w:p>
                  <w:pPr>
                    <w:jc w:val="center"/>
                    <w:rPr>
                      <w:rFonts w:hint="default" w:ascii="Times New Roman" w:hAnsi="Times New Roman" w:eastAsia="宋体" w:cs="Times New Roman"/>
                      <w:color w:val="auto"/>
                      <w:szCs w:val="21"/>
                      <w:highlight w:val="none"/>
                    </w:rPr>
                  </w:pPr>
                </w:p>
              </w:tc>
            </w:tr>
          </w:tbl>
          <w:p>
            <w:pPr>
              <w:tabs>
                <w:tab w:val="left" w:pos="3000"/>
              </w:tabs>
              <w:adjustRightInd w:val="0"/>
              <w:snapToGrid w:val="0"/>
              <w:spacing w:line="50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现有项目废水主要为员工生活污水、纯水制备反冲废水及RO浓水、中水回用系统废水、间接冷</w:t>
            </w:r>
            <w:r>
              <w:rPr>
                <w:rFonts w:hint="eastAsia" w:cs="Times New Roman"/>
                <w:snapToGrid w:val="0"/>
                <w:color w:val="auto"/>
                <w:kern w:val="0"/>
                <w:sz w:val="24"/>
                <w:highlight w:val="none"/>
                <w:lang w:val="en-US" w:eastAsia="zh-CN"/>
              </w:rPr>
              <w:t>却</w:t>
            </w:r>
            <w:r>
              <w:rPr>
                <w:rFonts w:hint="default" w:ascii="Times New Roman" w:hAnsi="Times New Roman" w:eastAsia="宋体" w:cs="Times New Roman"/>
                <w:snapToGrid w:val="0"/>
                <w:color w:val="auto"/>
                <w:kern w:val="0"/>
                <w:sz w:val="24"/>
                <w:highlight w:val="none"/>
              </w:rPr>
              <w:t>废水，生活污水预处理后与其他废水一并达标接管市政污水管，送新城水处理厂集中处理，接管浓度达到《污水综合排放标准》（GB8978-1996）表4中的三级标准</w:t>
            </w:r>
            <w:r>
              <w:rPr>
                <w:rFonts w:hint="default" w:ascii="Times New Roman" w:hAnsi="Times New Roman" w:eastAsia="宋体" w:cs="Times New Roman"/>
                <w:color w:val="auto"/>
                <w:sz w:val="24"/>
                <w:highlight w:val="none"/>
              </w:rPr>
              <w:t>和《污水排入城镇下水道水质标准》（GB/T31962-2015）中的标准</w:t>
            </w:r>
            <w:r>
              <w:rPr>
                <w:rFonts w:hint="default" w:ascii="Times New Roman" w:hAnsi="Times New Roman" w:eastAsia="宋体" w:cs="Times New Roman"/>
                <w:snapToGrid w:val="0"/>
                <w:color w:val="auto"/>
                <w:kern w:val="0"/>
                <w:sz w:val="24"/>
                <w:highlight w:val="none"/>
              </w:rPr>
              <w:t>。</w:t>
            </w:r>
          </w:p>
          <w:p>
            <w:pPr>
              <w:tabs>
                <w:tab w:val="left" w:pos="3000"/>
              </w:tabs>
              <w:adjustRightInd w:val="0"/>
              <w:snapToGrid w:val="0"/>
              <w:spacing w:line="500" w:lineRule="exact"/>
              <w:ind w:firstLine="480" w:firstLineChars="200"/>
              <w:rPr>
                <w:rFonts w:hint="default" w:ascii="Times New Roman" w:hAnsi="Times New Roman" w:eastAsia="宋体" w:cs="Times New Roman"/>
                <w:color w:val="auto"/>
                <w:sz w:val="24"/>
                <w:highlight w:val="none"/>
              </w:rPr>
            </w:pPr>
            <w:r>
              <w:rPr>
                <w:rFonts w:hint="eastAsia" w:cs="Times New Roman"/>
                <w:snapToGrid w:val="0"/>
                <w:color w:val="auto"/>
                <w:kern w:val="0"/>
                <w:sz w:val="24"/>
                <w:highlight w:val="none"/>
                <w:lang w:val="en-US" w:eastAsia="zh-CN"/>
              </w:rPr>
              <w:t>工艺废水</w:t>
            </w:r>
            <w:r>
              <w:rPr>
                <w:rFonts w:hint="default" w:ascii="Times New Roman" w:hAnsi="Times New Roman" w:eastAsia="宋体" w:cs="Times New Roman"/>
                <w:snapToGrid w:val="0"/>
                <w:color w:val="auto"/>
                <w:kern w:val="0"/>
                <w:sz w:val="24"/>
                <w:highlight w:val="none"/>
              </w:rPr>
              <w:t>（主要有废切削液、工艺清洗废水、地面清洗废水、喷淋废水、动力系统冷却塔排水等）经污水处理站处理后全部回用</w:t>
            </w:r>
            <w:r>
              <w:rPr>
                <w:rFonts w:hint="default" w:ascii="Times New Roman" w:hAnsi="Times New Roman" w:eastAsia="宋体" w:cs="Times New Roman"/>
                <w:color w:val="auto"/>
                <w:sz w:val="24"/>
                <w:highlight w:val="none"/>
              </w:rPr>
              <w:t>于动力系统的冷却塔用水</w:t>
            </w:r>
            <w:r>
              <w:rPr>
                <w:rFonts w:hint="default" w:ascii="Times New Roman" w:hAnsi="Times New Roman" w:eastAsia="宋体" w:cs="Times New Roman"/>
                <w:snapToGrid w:val="0"/>
                <w:color w:val="auto"/>
                <w:kern w:val="0"/>
                <w:sz w:val="24"/>
                <w:highlight w:val="none"/>
              </w:rPr>
              <w:t>，不外排。</w:t>
            </w:r>
            <w:r>
              <w:rPr>
                <w:rFonts w:hint="default" w:ascii="Times New Roman" w:hAnsi="Times New Roman" w:eastAsia="宋体" w:cs="Times New Roman"/>
                <w:snapToGrid w:val="0"/>
                <w:color w:val="auto"/>
                <w:sz w:val="24"/>
                <w:highlight w:val="none"/>
              </w:rPr>
              <w:t>污水处理站设计处理规模为100t/d，全年360天运行，根据企业例行监测报告及“三同时”验收监测情况，污水处理站出水浓度：COD ≤5mg/L，SS≤6mg/L，溶解性总固体≤94mg/L，能达到</w:t>
            </w:r>
            <w:r>
              <w:rPr>
                <w:rFonts w:hint="default" w:ascii="Times New Roman" w:hAnsi="Times New Roman" w:eastAsia="宋体" w:cs="Times New Roman"/>
                <w:color w:val="auto"/>
                <w:sz w:val="24"/>
                <w:highlight w:val="none"/>
              </w:rPr>
              <w:t>《城市污水再生利用 工业用水水质》（GB/T 19923-2005）表1中敞开式循环冷却水系统补充水的标准。</w:t>
            </w:r>
          </w:p>
          <w:p>
            <w:pPr>
              <w:adjustRightInd w:val="0"/>
              <w:snapToGrid w:val="0"/>
              <w:spacing w:line="500" w:lineRule="exact"/>
              <w:ind w:firstLine="482"/>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snapToGrid w:val="0"/>
                <w:color w:val="auto"/>
                <w:kern w:val="0"/>
                <w:sz w:val="24"/>
                <w:highlight w:val="none"/>
              </w:rPr>
              <w:t>电堆测试电化学反应生成的水用于厂区绿化，无清下水排放</w:t>
            </w:r>
            <w:r>
              <w:rPr>
                <w:rFonts w:hint="default" w:ascii="Times New Roman" w:hAnsi="Times New Roman" w:eastAsia="宋体" w:cs="Times New Roman"/>
                <w:color w:val="auto"/>
                <w:sz w:val="24"/>
                <w:highlight w:val="none"/>
              </w:rPr>
              <w:t>。</w:t>
            </w:r>
          </w:p>
          <w:p>
            <w:pPr>
              <w:adjustRightInd w:val="0"/>
              <w:snapToGrid w:val="0"/>
              <w:spacing w:line="500" w:lineRule="exact"/>
              <w:ind w:firstLine="482"/>
              <w:jc w:val="left"/>
              <w:rPr>
                <w:rFonts w:hint="default" w:ascii="Times New Roman" w:hAnsi="Times New Roman" w:eastAsia="宋体" w:cs="Times New Roman"/>
                <w:color w:val="auto"/>
                <w:kern w:val="0"/>
                <w:sz w:val="24"/>
                <w:highlight w:val="none"/>
                <w:lang w:val="en-US" w:eastAsia="zh-CN"/>
              </w:rPr>
            </w:pPr>
            <w:r>
              <w:rPr>
                <w:rFonts w:hint="eastAsia" w:cs="Times New Roman"/>
                <w:color w:val="auto"/>
                <w:sz w:val="24"/>
                <w:highlight w:val="none"/>
                <w:lang w:val="en-US" w:eastAsia="zh-CN"/>
              </w:rPr>
              <w:t>本项目在原有11个雨水排放口的基础上，拟新增一个雨水排放口YS-012。全厂合计12个雨水排放口。</w:t>
            </w:r>
          </w:p>
          <w:p>
            <w:pPr>
              <w:adjustRightInd w:val="0"/>
              <w:snapToGrid w:val="0"/>
              <w:spacing w:line="500" w:lineRule="exact"/>
              <w:ind w:firstLine="480"/>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（3）固废</w:t>
            </w:r>
          </w:p>
          <w:p>
            <w:pPr>
              <w:pStyle w:val="8"/>
              <w:adjustRightInd w:val="0"/>
              <w:snapToGrid w:val="0"/>
              <w:spacing w:after="0" w:line="500" w:lineRule="exact"/>
              <w:ind w:left="0" w:leftChars="0" w:firstLine="480" w:firstLineChars="200"/>
              <w:rPr>
                <w:rFonts w:hint="default" w:ascii="Times New Roman" w:hAnsi="Times New Roman" w:eastAsia="宋体" w:cs="Times New Roman"/>
                <w:snapToGrid w:val="0"/>
                <w:color w:val="auto"/>
                <w:highlight w:val="none"/>
              </w:rPr>
            </w:pPr>
            <w:r>
              <w:rPr>
                <w:rFonts w:hint="default" w:ascii="Times New Roman" w:hAnsi="Times New Roman" w:eastAsia="宋体" w:cs="Times New Roman"/>
                <w:color w:val="auto"/>
                <w:highlight w:val="none"/>
              </w:rPr>
              <w:t>根据</w:t>
            </w:r>
            <w:r>
              <w:rPr>
                <w:rFonts w:hint="eastAsia" w:cs="Times New Roman"/>
                <w:color w:val="auto"/>
                <w:highlight w:val="none"/>
                <w:lang w:val="en-US" w:eastAsia="zh-CN"/>
              </w:rPr>
              <w:t>最新一期建设项目</w:t>
            </w:r>
            <w:r>
              <w:rPr>
                <w:rFonts w:hint="default" w:ascii="Times New Roman" w:hAnsi="Times New Roman" w:eastAsia="宋体" w:cs="Times New Roman"/>
                <w:color w:val="auto"/>
                <w:highlight w:val="none"/>
              </w:rPr>
              <w:t>《</w:t>
            </w:r>
            <w:r>
              <w:rPr>
                <w:rFonts w:hint="default"/>
                <w:color w:val="auto"/>
                <w:sz w:val="24"/>
                <w:highlight w:val="none"/>
              </w:rPr>
              <w:t>CB4泵高压组件和尿素泵产能提升项目</w:t>
            </w:r>
            <w:r>
              <w:rPr>
                <w:rFonts w:hint="default" w:ascii="Times New Roman" w:hAnsi="Times New Roman" w:eastAsia="宋体" w:cs="Times New Roman"/>
                <w:color w:val="auto"/>
                <w:highlight w:val="none"/>
              </w:rPr>
              <w:t>报告表》，</w:t>
            </w:r>
            <w:r>
              <w:rPr>
                <w:rFonts w:hint="default" w:ascii="Times New Roman" w:hAnsi="Times New Roman" w:eastAsia="宋体" w:cs="Times New Roman"/>
                <w:snapToGrid w:val="0"/>
                <w:color w:val="auto"/>
                <w:highlight w:val="none"/>
              </w:rPr>
              <w:t>现有项目固废产生及处置情况详见下表2-</w:t>
            </w:r>
            <w:r>
              <w:rPr>
                <w:rFonts w:hint="eastAsia" w:cs="Times New Roman"/>
                <w:snapToGrid w:val="0"/>
                <w:color w:val="auto"/>
                <w:highlight w:val="none"/>
                <w:lang w:val="en-US" w:eastAsia="zh-CN"/>
              </w:rPr>
              <w:t>14</w:t>
            </w:r>
            <w:r>
              <w:rPr>
                <w:rFonts w:hint="default" w:ascii="Times New Roman" w:hAnsi="Times New Roman" w:eastAsia="宋体" w:cs="Times New Roman"/>
                <w:snapToGrid w:val="0"/>
                <w:color w:val="auto"/>
                <w:highlight w:val="none"/>
              </w:rPr>
              <w:t>。</w:t>
            </w:r>
          </w:p>
          <w:p>
            <w:pPr>
              <w:spacing w:line="500" w:lineRule="exact"/>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表2-1</w:t>
            </w:r>
            <w:r>
              <w:rPr>
                <w:rFonts w:hint="eastAsia" w:cs="Times New Roman"/>
                <w:b/>
                <w:color w:val="auto"/>
                <w:sz w:val="24"/>
                <w:highlight w:val="none"/>
                <w:lang w:val="en-US" w:eastAsia="zh-CN"/>
              </w:rPr>
              <w:t>4</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新华路厂区</w:t>
            </w:r>
            <w:r>
              <w:rPr>
                <w:rFonts w:hint="default" w:ascii="Times New Roman" w:hAnsi="Times New Roman" w:eastAsia="宋体" w:cs="Times New Roman"/>
                <w:b/>
                <w:color w:val="auto"/>
                <w:sz w:val="24"/>
                <w:highlight w:val="none"/>
              </w:rPr>
              <w:t>现有项目固废情况</w:t>
            </w:r>
          </w:p>
          <w:tbl>
            <w:tblPr>
              <w:tblStyle w:val="21"/>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27"/>
              <w:gridCol w:w="1573"/>
              <w:gridCol w:w="755"/>
              <w:gridCol w:w="1354"/>
              <w:gridCol w:w="602"/>
              <w:gridCol w:w="1203"/>
              <w:gridCol w:w="180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1" w:hRule="atLeast"/>
              </w:trPr>
              <w:tc>
                <w:tcPr>
                  <w:tcW w:w="763" w:type="pct"/>
                  <w:tcBorders>
                    <w:top w:val="single" w:color="000000" w:sz="12"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产生源</w:t>
                  </w:r>
                </w:p>
              </w:tc>
              <w:tc>
                <w:tcPr>
                  <w:tcW w:w="905" w:type="pct"/>
                  <w:tcBorders>
                    <w:top w:val="single" w:color="000000" w:sz="12"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434" w:type="pct"/>
                  <w:tcBorders>
                    <w:top w:val="single" w:color="000000" w:sz="12"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固废类别</w:t>
                  </w:r>
                </w:p>
              </w:tc>
              <w:tc>
                <w:tcPr>
                  <w:tcW w:w="779" w:type="pct"/>
                  <w:tcBorders>
                    <w:top w:val="single" w:color="000000" w:sz="12"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固废代码</w:t>
                  </w:r>
                </w:p>
              </w:tc>
              <w:tc>
                <w:tcPr>
                  <w:tcW w:w="346" w:type="pct"/>
                  <w:tcBorders>
                    <w:top w:val="single" w:color="000000" w:sz="12"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性状</w:t>
                  </w:r>
                </w:p>
              </w:tc>
              <w:tc>
                <w:tcPr>
                  <w:tcW w:w="692" w:type="pct"/>
                  <w:tcBorders>
                    <w:top w:val="single" w:color="000000" w:sz="12"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产生量</w:t>
                  </w:r>
                </w:p>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t/a</w:t>
                  </w:r>
                </w:p>
              </w:tc>
              <w:tc>
                <w:tcPr>
                  <w:tcW w:w="1040" w:type="pct"/>
                  <w:tcBorders>
                    <w:top w:val="single" w:color="000000" w:sz="12"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处置单位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金加工、检验</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废金属边角料(含金属氧化物、不合格品等)</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367-001-10</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90</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专业回收公司</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回收利用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VCM拆卸</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废VCM部件</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367-001-14</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回收公司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过滤器</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废滤网</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900-999-99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0.451</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回收公司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吹扫过滤器</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废滤芯</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900-999-99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0.0038</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回收公司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测试</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废弃膜电极组件</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900-999-99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9485</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回收公司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测试</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废弃电堆</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900-999-99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回收公司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4"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镀膜</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铬靶</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900-999-99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0.78</w:t>
                  </w:r>
                </w:p>
              </w:tc>
              <w:tc>
                <w:tcPr>
                  <w:tcW w:w="1040" w:type="pct"/>
                  <w:vMerge w:val="restar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6"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镀膜</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含铬挡板</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900-999-99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4.3</w:t>
                  </w:r>
                </w:p>
              </w:tc>
              <w:tc>
                <w:tcPr>
                  <w:tcW w:w="1040" w:type="pct"/>
                  <w:vMerge w:val="continue"/>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电化学加工</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表面处理废液</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HW17</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336-064-17</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液态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r>
                    <w:rPr>
                      <w:rFonts w:hint="default" w:cs="Times New Roman"/>
                      <w:color w:val="auto"/>
                      <w:szCs w:val="21"/>
                      <w:highlight w:val="none"/>
                      <w:lang w:eastAsia="zh-CN"/>
                    </w:rPr>
                    <w:t>07</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常州市锦云工业废弃物处理有限公司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87"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金加工、设备维护、清洗、测试、油雾废气治理</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废油（含废磨料）</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HW08</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900-249-08</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液态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eastAsia="zh-Hans"/>
                    </w:rPr>
                  </w:pPr>
                  <w:r>
                    <w:rPr>
                      <w:rFonts w:hint="eastAsia" w:cs="Times New Roman"/>
                      <w:color w:val="auto"/>
                      <w:szCs w:val="21"/>
                      <w:highlight w:val="none"/>
                      <w:lang w:val="en-US" w:eastAsia="zh-CN"/>
                    </w:rPr>
                    <w:t>43</w:t>
                  </w:r>
                  <w:r>
                    <w:rPr>
                      <w:rFonts w:hint="default" w:cs="Times New Roman"/>
                      <w:color w:val="auto"/>
                      <w:szCs w:val="21"/>
                      <w:highlight w:val="none"/>
                      <w:lang w:eastAsia="zh-CN"/>
                    </w:rPr>
                    <w:t>1</w:t>
                  </w:r>
                  <w:r>
                    <w:rPr>
                      <w:rFonts w:hint="eastAsia" w:cs="Times New Roman"/>
                      <w:color w:val="auto"/>
                      <w:szCs w:val="21"/>
                      <w:highlight w:val="none"/>
                      <w:lang w:val="en-US" w:eastAsia="zh-Hans"/>
                    </w:rPr>
                    <w:t>.</w:t>
                  </w:r>
                  <w:r>
                    <w:rPr>
                      <w:rFonts w:hint="default" w:cs="Times New Roman"/>
                      <w:color w:val="auto"/>
                      <w:szCs w:val="21"/>
                      <w:highlight w:val="none"/>
                      <w:lang w:eastAsia="zh-Hans"/>
                    </w:rPr>
                    <w:t>625</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无锡市三得利石化有限公司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原料使用</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废油桶</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HW08</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900-249-08</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50.534</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原料使用</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化学品容器</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HW49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900-041-49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cs="Times New Roman"/>
                      <w:color w:val="auto"/>
                      <w:szCs w:val="21"/>
                      <w:highlight w:val="none"/>
                      <w:lang w:eastAsia="zh-CN"/>
                    </w:rPr>
                    <w:t>15</w:t>
                  </w:r>
                  <w:r>
                    <w:rPr>
                      <w:rFonts w:hint="eastAsia" w:cs="Times New Roman"/>
                      <w:color w:val="auto"/>
                      <w:szCs w:val="21"/>
                      <w:highlight w:val="none"/>
                      <w:lang w:val="en-US" w:eastAsia="zh-Hans"/>
                    </w:rPr>
                    <w:t>.</w:t>
                  </w:r>
                  <w:r>
                    <w:rPr>
                      <w:rFonts w:hint="default" w:cs="Times New Roman"/>
                      <w:color w:val="auto"/>
                      <w:szCs w:val="21"/>
                      <w:highlight w:val="none"/>
                      <w:lang w:eastAsia="zh-Hans"/>
                    </w:rPr>
                    <w:t>505</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生产线、实验室</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有机溶剂</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HW06</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900-402-06</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液态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2.0017</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常州市锦云工业废弃物处理有限公司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实验室</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废酸</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HW34</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900-349-34</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液态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0.005</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有资质单位处理处置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镀铬</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废滤芯、手套等（含铬）</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HW49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900-041-49</w:t>
                  </w:r>
                </w:p>
              </w:tc>
              <w:tc>
                <w:tcPr>
                  <w:tcW w:w="346"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镀铬</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含铬废物（液体）</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HW17</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336-069-17</w:t>
                  </w:r>
                </w:p>
              </w:tc>
              <w:tc>
                <w:tcPr>
                  <w:tcW w:w="34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镇江市和云工业废水处置有限公司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污水处理站</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污水处理污泥</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HW17</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336-064-17</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半固态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5</w:t>
                  </w:r>
                  <w:r>
                    <w:rPr>
                      <w:rFonts w:hint="default" w:cs="Times New Roman"/>
                      <w:color w:val="auto"/>
                      <w:szCs w:val="21"/>
                      <w:highlight w:val="none"/>
                      <w:lang w:eastAsia="zh-CN"/>
                    </w:rPr>
                    <w:t>1</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763" w:type="pct"/>
                  <w:vMerge w:val="restar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供油中心</w:t>
                  </w:r>
                  <w:r>
                    <w:rPr>
                      <w:rFonts w:hint="eastAsia" w:cs="Times New Roman"/>
                      <w:color w:val="auto"/>
                      <w:szCs w:val="21"/>
                      <w:highlight w:val="none"/>
                      <w:lang w:eastAsia="zh-CN"/>
                    </w:rPr>
                    <w:t>、</w:t>
                  </w:r>
                  <w:r>
                    <w:rPr>
                      <w:rFonts w:hint="eastAsia" w:cs="Times New Roman"/>
                      <w:color w:val="auto"/>
                      <w:szCs w:val="21"/>
                      <w:highlight w:val="none"/>
                      <w:lang w:val="en-US" w:eastAsia="zh-CN"/>
                    </w:rPr>
                    <w:t>设备擦拭、维护</w:t>
                  </w:r>
                  <w:r>
                    <w:rPr>
                      <w:rFonts w:hint="default" w:ascii="Times New Roman" w:hAnsi="Times New Roman" w:eastAsia="宋体" w:cs="Times New Roman"/>
                      <w:color w:val="auto"/>
                      <w:szCs w:val="21"/>
                      <w:highlight w:val="none"/>
                    </w:rPr>
                    <w:t>等</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含油废物</w:t>
                  </w:r>
                </w:p>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（砂轮灰等）</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HW08</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900-213-08</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370.02</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常州市特拉奇环保科技有限公司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763" w:type="pct"/>
                  <w:vMerge w:val="continue"/>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含油废物（滤芯、滤布、毛刷等）</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HW49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900-041-49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86.06</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苏州新区环保服务中心有限公司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医务室</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医疗废物</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HW01</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831-001-01</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0.04</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无锡市工业废物安全处置有限公司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2"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办公生活</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废含汞灯管</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HW29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900-023-29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常州市锦云工业废弃物处理有限公司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办公生活</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废蓄电池</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HW31</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900-052-31</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15</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无锡军鸿再生资源利用有限公司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实验室</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废试剂/实验室废液</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HW49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900-047-49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液体</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2.1</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实验室</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废尿素溶液</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HW09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900-007-09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液体</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28</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常州市锦云工业废弃物处理有限公司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化学品储存</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废弃化学品</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HW49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900-999-49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液体</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7</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废气处理</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废活性炭</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HW49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900-039-49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1.03</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委托有资质单位处置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废气处理</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废过滤材料</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HW49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900-0</w:t>
                  </w:r>
                  <w:r>
                    <w:rPr>
                      <w:rFonts w:hint="eastAsia" w:cs="Times New Roman"/>
                      <w:color w:val="auto"/>
                      <w:szCs w:val="21"/>
                      <w:highlight w:val="none"/>
                      <w:lang w:val="en-US" w:eastAsia="zh-CN"/>
                    </w:rPr>
                    <w:t>41</w:t>
                  </w:r>
                  <w:r>
                    <w:rPr>
                      <w:rFonts w:hint="default" w:ascii="Times New Roman" w:hAnsi="Times New Roman" w:eastAsia="宋体" w:cs="Times New Roman"/>
                      <w:color w:val="auto"/>
                      <w:szCs w:val="21"/>
                      <w:highlight w:val="none"/>
                    </w:rPr>
                    <w:t>-49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0.45</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委托有资质单位处置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清洗</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废碱液</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HW35</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900-352-35</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液态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0.14</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常州市风华环保有限公司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污水处理站</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浓缩废液</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HW09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900-007-09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液态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2</w:t>
                  </w:r>
                  <w:r>
                    <w:rPr>
                      <w:rFonts w:hint="default" w:cs="Times New Roman"/>
                      <w:color w:val="auto"/>
                      <w:szCs w:val="21"/>
                      <w:highlight w:val="none"/>
                      <w:lang w:eastAsia="zh-CN"/>
                    </w:rPr>
                    <w:t>8</w:t>
                  </w:r>
                  <w:r>
                    <w:rPr>
                      <w:rFonts w:hint="eastAsia" w:cs="Times New Roman"/>
                      <w:color w:val="auto"/>
                      <w:szCs w:val="21"/>
                      <w:highlight w:val="none"/>
                      <w:lang w:val="en-US" w:eastAsia="zh-CN"/>
                    </w:rPr>
                    <w:t>7.6</w:t>
                  </w:r>
                </w:p>
              </w:tc>
              <w:tc>
                <w:tcPr>
                  <w:tcW w:w="1040" w:type="pct"/>
                  <w:vMerge w:val="restar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常州市锦云工业废弃物处理有限公司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污水处理站</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离心分离和超滤废液</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HW09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900-007-09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液态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435</w:t>
                  </w:r>
                </w:p>
              </w:tc>
              <w:tc>
                <w:tcPr>
                  <w:tcW w:w="1040" w:type="pct"/>
                  <w:vMerge w:val="continue"/>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88"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日常生活</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不</w:t>
                  </w:r>
                  <w:r>
                    <w:rPr>
                      <w:rFonts w:hint="default" w:ascii="Times New Roman" w:hAnsi="Times New Roman" w:eastAsia="宋体" w:cs="Times New Roman"/>
                      <w:b w:val="0"/>
                      <w:bCs w:val="0"/>
                      <w:color w:val="auto"/>
                      <w:szCs w:val="21"/>
                      <w:highlight w:val="none"/>
                    </w:rPr>
                    <w:t>含油废物（废弃</w:t>
                  </w:r>
                  <w:r>
                    <w:rPr>
                      <w:rFonts w:hint="eastAsia" w:cs="Times New Roman"/>
                      <w:b w:val="0"/>
                      <w:bCs w:val="0"/>
                      <w:color w:val="auto"/>
                      <w:szCs w:val="21"/>
                      <w:highlight w:val="none"/>
                      <w:lang w:val="en-US" w:eastAsia="zh-CN"/>
                    </w:rPr>
                    <w:t>不</w:t>
                  </w:r>
                  <w:r>
                    <w:rPr>
                      <w:rFonts w:hint="default" w:ascii="Times New Roman" w:hAnsi="Times New Roman" w:eastAsia="宋体" w:cs="Times New Roman"/>
                      <w:b w:val="0"/>
                      <w:bCs w:val="0"/>
                      <w:color w:val="auto"/>
                      <w:szCs w:val="21"/>
                      <w:highlight w:val="none"/>
                    </w:rPr>
                    <w:t>含油抹布、劳保用品）*</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66</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900-999-66</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color w:val="auto"/>
                      <w:lang w:val="en-US" w:eastAsia="zh-CN"/>
                    </w:rPr>
                  </w:pPr>
                  <w:r>
                    <w:rPr>
                      <w:rFonts w:hint="eastAsia"/>
                      <w:color w:val="auto"/>
                      <w:lang w:val="en-US" w:eastAsia="zh-CN"/>
                    </w:rPr>
                    <w:t>3</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热电厂焚烧发电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喷砂</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废玻璃钢珠</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06</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376-001-06</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36</w:t>
                  </w:r>
                </w:p>
              </w:tc>
              <w:tc>
                <w:tcPr>
                  <w:tcW w:w="1040" w:type="pct"/>
                  <w:vMerge w:val="restar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废品回收商回收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喷丸</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废钢珠</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367-001-10</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0.8</w:t>
                  </w:r>
                </w:p>
              </w:tc>
              <w:tc>
                <w:tcPr>
                  <w:tcW w:w="1040" w:type="pct"/>
                  <w:vMerge w:val="continue"/>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测试</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废保险丝</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900-999-99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0.01</w:t>
                  </w:r>
                </w:p>
              </w:tc>
              <w:tc>
                <w:tcPr>
                  <w:tcW w:w="1040" w:type="pct"/>
                  <w:vMerge w:val="continue"/>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喷砂废气处理</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收集的金属粉尘</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66</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900-999-66</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w:t>
                  </w:r>
                  <w:r>
                    <w:rPr>
                      <w:rFonts w:hint="default" w:ascii="Times New Roman" w:hAnsi="Times New Roman" w:eastAsia="宋体" w:cs="Times New Roman"/>
                      <w:color w:val="auto"/>
                      <w:szCs w:val="21"/>
                      <w:highlight w:val="none"/>
                      <w:lang w:val="en-US" w:eastAsia="zh-Hans"/>
                    </w:rPr>
                    <w:t>.</w:t>
                  </w:r>
                  <w:r>
                    <w:rPr>
                      <w:rFonts w:hint="default" w:ascii="Times New Roman" w:hAnsi="Times New Roman" w:eastAsia="宋体" w:cs="Times New Roman"/>
                      <w:color w:val="auto"/>
                      <w:szCs w:val="21"/>
                      <w:highlight w:val="none"/>
                      <w:lang w:eastAsia="zh-Hans"/>
                    </w:rPr>
                    <w:t>1377</w:t>
                  </w:r>
                </w:p>
              </w:tc>
              <w:tc>
                <w:tcPr>
                  <w:tcW w:w="1040" w:type="pct"/>
                  <w:vMerge w:val="continue"/>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trPr>
              <w:tc>
                <w:tcPr>
                  <w:tcW w:w="763" w:type="pct"/>
                  <w:tcBorders>
                    <w:top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纯水制备</w:t>
                  </w:r>
                </w:p>
              </w:tc>
              <w:tc>
                <w:tcPr>
                  <w:tcW w:w="90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废过滤材料（废滤袋、废活性炭、废石英砂）</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900-999-99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1040" w:type="pct"/>
                  <w:vMerge w:val="restar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供应商回收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trPr>
              <w:tc>
                <w:tcPr>
                  <w:tcW w:w="763" w:type="pct"/>
                  <w:tcBorders>
                    <w:top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纯水制备</w:t>
                  </w:r>
                </w:p>
              </w:tc>
              <w:tc>
                <w:tcPr>
                  <w:tcW w:w="90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废膜组件</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900-999-99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0.003</w:t>
                  </w:r>
                </w:p>
              </w:tc>
              <w:tc>
                <w:tcPr>
                  <w:tcW w:w="1040" w:type="pct"/>
                  <w:vMerge w:val="continue"/>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注塑废气处理</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收集的其他粉尘</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66</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900-999-66</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0.0693</w:t>
                  </w:r>
                </w:p>
              </w:tc>
              <w:tc>
                <w:tcPr>
                  <w:tcW w:w="1040" w:type="pct"/>
                  <w:vMerge w:val="restar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环卫部门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1"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员工</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生活垃圾</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66</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900-999-66</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r>
                    <w:rPr>
                      <w:rFonts w:hint="default" w:cs="Times New Roman"/>
                      <w:color w:val="auto"/>
                      <w:szCs w:val="21"/>
                      <w:highlight w:val="none"/>
                      <w:lang w:eastAsia="zh-CN"/>
                    </w:rPr>
                    <w:t>34</w:t>
                  </w:r>
                  <w:r>
                    <w:rPr>
                      <w:rFonts w:hint="eastAsia" w:cs="Times New Roman"/>
                      <w:color w:val="auto"/>
                      <w:szCs w:val="21"/>
                      <w:highlight w:val="none"/>
                      <w:lang w:val="en-US" w:eastAsia="zh-CN"/>
                    </w:rPr>
                    <w:t>.1</w:t>
                  </w:r>
                </w:p>
              </w:tc>
              <w:tc>
                <w:tcPr>
                  <w:tcW w:w="1040" w:type="pct"/>
                  <w:vMerge w:val="continue"/>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5"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食堂</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食堂泔脚</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39</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900-999-39</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半固态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33</w:t>
                  </w:r>
                  <w:r>
                    <w:rPr>
                      <w:rFonts w:hint="eastAsia" w:cs="Times New Roman"/>
                      <w:color w:val="auto"/>
                      <w:szCs w:val="21"/>
                      <w:highlight w:val="none"/>
                      <w:lang w:val="en-US" w:eastAsia="zh-CN"/>
                    </w:rPr>
                    <w:t>6</w:t>
                  </w:r>
                  <w:r>
                    <w:rPr>
                      <w:rFonts w:hint="default" w:ascii="Times New Roman" w:hAnsi="Times New Roman" w:eastAsia="宋体" w:cs="Times New Roman"/>
                      <w:color w:val="auto"/>
                      <w:szCs w:val="21"/>
                      <w:highlight w:val="none"/>
                      <w:lang w:val="en-US" w:eastAsia="zh-CN"/>
                    </w:rPr>
                    <w:t>.</w:t>
                  </w:r>
                  <w:r>
                    <w:rPr>
                      <w:rFonts w:hint="eastAsia" w:cs="Times New Roman"/>
                      <w:color w:val="auto"/>
                      <w:szCs w:val="21"/>
                      <w:highlight w:val="none"/>
                      <w:lang w:val="en-US" w:eastAsia="zh-CN"/>
                    </w:rPr>
                    <w:t>5</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无锡市宜易隆城市物业管理有限公司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5" w:hRule="atLeast"/>
              </w:trPr>
              <w:tc>
                <w:tcPr>
                  <w:tcW w:w="763" w:type="pct"/>
                  <w:tcBorders>
                    <w:top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办公</w:t>
                  </w:r>
                </w:p>
              </w:tc>
              <w:tc>
                <w:tcPr>
                  <w:tcW w:w="90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LED灯管</w:t>
                  </w:r>
                </w:p>
              </w:tc>
              <w:tc>
                <w:tcPr>
                  <w:tcW w:w="4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w:t>
                  </w:r>
                </w:p>
              </w:tc>
              <w:tc>
                <w:tcPr>
                  <w:tcW w:w="7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900-999-14</w:t>
                  </w:r>
                </w:p>
              </w:tc>
              <w:tc>
                <w:tcPr>
                  <w:tcW w:w="34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1040"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回收公司回收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763" w:type="pct"/>
                  <w:tcBorders>
                    <w:top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物流</w:t>
                  </w:r>
                </w:p>
              </w:tc>
              <w:tc>
                <w:tcPr>
                  <w:tcW w:w="905" w:type="pct"/>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废塑料、废纸箱、废木栈板</w:t>
                  </w:r>
                </w:p>
              </w:tc>
              <w:tc>
                <w:tcPr>
                  <w:tcW w:w="434" w:type="pct"/>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66</w:t>
                  </w:r>
                </w:p>
              </w:tc>
              <w:tc>
                <w:tcPr>
                  <w:tcW w:w="779" w:type="pct"/>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900-999-66</w:t>
                  </w:r>
                </w:p>
              </w:tc>
              <w:tc>
                <w:tcPr>
                  <w:tcW w:w="346" w:type="pct"/>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692" w:type="pct"/>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w:t>
                  </w: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0</w:t>
                  </w:r>
                </w:p>
              </w:tc>
              <w:tc>
                <w:tcPr>
                  <w:tcW w:w="1040" w:type="pct"/>
                  <w:tcBorders>
                    <w:top w:val="single" w:color="auto" w:sz="4" w:space="0"/>
                    <w:lef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废品回收单位回收</w:t>
                  </w:r>
                </w:p>
              </w:tc>
            </w:tr>
          </w:tbl>
          <w:p>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snapToGrid w:val="0"/>
                <w:color w:val="auto"/>
                <w:sz w:val="24"/>
                <w:highlight w:val="none"/>
              </w:rPr>
              <w:t>原项目固体废弃物专用的堆放场所设置在室内，废液采用专用收集桶收集，地面防渗、防漏，</w:t>
            </w:r>
            <w:r>
              <w:rPr>
                <w:rFonts w:hint="default" w:ascii="Times New Roman" w:hAnsi="Times New Roman" w:eastAsia="宋体" w:cs="Times New Roman"/>
                <w:bCs/>
                <w:color w:val="auto"/>
                <w:sz w:val="24"/>
                <w:highlight w:val="none"/>
              </w:rPr>
              <w:t>原有项目固体废物均得到妥善处置。</w:t>
            </w:r>
          </w:p>
          <w:p>
            <w:pPr>
              <w:adjustRightInd w:val="0"/>
              <w:snapToGrid w:val="0"/>
              <w:spacing w:line="500" w:lineRule="exact"/>
              <w:ind w:firstLine="480"/>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（4）噪声</w:t>
            </w:r>
          </w:p>
          <w:p>
            <w:pPr>
              <w:adjustRightInd w:val="0"/>
              <w:snapToGrid w:val="0"/>
              <w:spacing w:line="500" w:lineRule="exact"/>
              <w:ind w:left="34"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根据</w:t>
            </w:r>
            <w:r>
              <w:rPr>
                <w:rFonts w:hint="eastAsia" w:cs="Times New Roman"/>
                <w:color w:val="auto"/>
                <w:sz w:val="24"/>
                <w:highlight w:val="none"/>
                <w:lang w:val="en-US" w:eastAsia="zh-CN"/>
              </w:rPr>
              <w:t>根据由无锡环净检测技术有限公司于2022年5月23日出具的例行监测报告（报告编号：HJJC220731）</w:t>
            </w:r>
            <w:r>
              <w:rPr>
                <w:rFonts w:hint="default" w:ascii="Times New Roman" w:hAnsi="Times New Roman" w:eastAsia="宋体" w:cs="Times New Roman"/>
                <w:color w:val="auto"/>
                <w:sz w:val="24"/>
                <w:highlight w:val="none"/>
              </w:rPr>
              <w:t>，建设单位厂界噪</w:t>
            </w:r>
            <w:r>
              <w:rPr>
                <w:rFonts w:hint="default" w:ascii="Times New Roman" w:hAnsi="Times New Roman" w:eastAsia="宋体" w:cs="Times New Roman"/>
                <w:b w:val="0"/>
                <w:bCs w:val="0"/>
                <w:color w:val="auto"/>
                <w:sz w:val="24"/>
                <w:highlight w:val="none"/>
              </w:rPr>
              <w:t>声昼间≤</w:t>
            </w:r>
            <w:r>
              <w:rPr>
                <w:rFonts w:hint="eastAsia" w:cs="Times New Roman"/>
                <w:b w:val="0"/>
                <w:bCs w:val="0"/>
                <w:color w:val="auto"/>
                <w:sz w:val="24"/>
                <w:highlight w:val="none"/>
                <w:lang w:val="en-US" w:eastAsia="zh-CN"/>
              </w:rPr>
              <w:t xml:space="preserve">61 </w:t>
            </w:r>
            <w:r>
              <w:rPr>
                <w:rFonts w:hint="default" w:ascii="Times New Roman" w:hAnsi="Times New Roman" w:eastAsia="宋体" w:cs="Times New Roman"/>
                <w:b w:val="0"/>
                <w:bCs w:val="0"/>
                <w:color w:val="auto"/>
                <w:sz w:val="24"/>
                <w:highlight w:val="none"/>
              </w:rPr>
              <w:t>dB(A)、夜间≤</w:t>
            </w:r>
            <w:r>
              <w:rPr>
                <w:rFonts w:hint="eastAsia" w:cs="Times New Roman"/>
                <w:b w:val="0"/>
                <w:bCs w:val="0"/>
                <w:color w:val="auto"/>
                <w:sz w:val="24"/>
                <w:highlight w:val="none"/>
                <w:lang w:val="en-US" w:eastAsia="zh-CN"/>
              </w:rPr>
              <w:t>50</w:t>
            </w:r>
            <w:r>
              <w:rPr>
                <w:rFonts w:hint="default" w:ascii="Times New Roman" w:hAnsi="Times New Roman" w:eastAsia="宋体" w:cs="Times New Roman"/>
                <w:b w:val="0"/>
                <w:bCs w:val="0"/>
                <w:color w:val="auto"/>
                <w:sz w:val="24"/>
                <w:highlight w:val="none"/>
              </w:rPr>
              <w:t xml:space="preserve"> dB(A)。</w:t>
            </w:r>
            <w:r>
              <w:rPr>
                <w:rFonts w:hint="default" w:ascii="Times New Roman" w:hAnsi="Times New Roman" w:eastAsia="宋体" w:cs="Times New Roman"/>
                <w:color w:val="auto"/>
                <w:sz w:val="24"/>
                <w:highlight w:val="none"/>
              </w:rPr>
              <w:t>达到《工业企业厂界环境噪声排放标准》（GB12348-2008）中的3类标准</w:t>
            </w:r>
            <w:r>
              <w:rPr>
                <w:rFonts w:hint="default" w:ascii="Times New Roman" w:hAnsi="Times New Roman" w:eastAsia="宋体" w:cs="Times New Roman"/>
                <w:bCs/>
                <w:color w:val="auto"/>
                <w:sz w:val="24"/>
                <w:highlight w:val="none"/>
              </w:rPr>
              <w:t>。</w:t>
            </w:r>
          </w:p>
          <w:p>
            <w:pPr>
              <w:numPr>
                <w:ilvl w:val="0"/>
                <w:numId w:val="0"/>
              </w:numPr>
              <w:adjustRightInd w:val="0"/>
              <w:snapToGrid w:val="0"/>
              <w:spacing w:line="500" w:lineRule="exact"/>
              <w:ind w:left="480" w:leftChars="0"/>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5）现有</w:t>
            </w:r>
            <w:r>
              <w:rPr>
                <w:rFonts w:hint="default" w:ascii="Times New Roman" w:hAnsi="Times New Roman" w:eastAsia="宋体" w:cs="Times New Roman"/>
                <w:b/>
                <w:bCs/>
                <w:color w:val="auto"/>
                <w:sz w:val="24"/>
                <w:highlight w:val="none"/>
              </w:rPr>
              <w:t>项目污染物排放总量</w:t>
            </w:r>
          </w:p>
          <w:p>
            <w:pPr>
              <w:adjustRightInd w:val="0"/>
              <w:snapToGrid w:val="0"/>
              <w:spacing w:line="500" w:lineRule="exact"/>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表2-1</w:t>
            </w:r>
            <w:r>
              <w:rPr>
                <w:rFonts w:hint="eastAsia" w:cs="Times New Roman"/>
                <w:b/>
                <w:color w:val="auto"/>
                <w:sz w:val="24"/>
                <w:highlight w:val="none"/>
                <w:lang w:val="en-US" w:eastAsia="zh-CN"/>
              </w:rPr>
              <w:t>5</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新华路厂区现有项目</w:t>
            </w:r>
            <w:r>
              <w:rPr>
                <w:rFonts w:hint="default" w:ascii="Times New Roman" w:hAnsi="Times New Roman" w:eastAsia="宋体" w:cs="Times New Roman"/>
                <w:b/>
                <w:color w:val="auto"/>
                <w:sz w:val="24"/>
                <w:highlight w:val="none"/>
              </w:rPr>
              <w:t>污染物排放量汇总</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79"/>
              <w:gridCol w:w="1306"/>
              <w:gridCol w:w="2798"/>
              <w:gridCol w:w="2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29" w:type="pct"/>
                  <w:gridSpan w:val="4"/>
                  <w:noWrap w:val="0"/>
                  <w:vAlign w:val="center"/>
                </w:tcPr>
                <w:p>
                  <w:pPr>
                    <w:widowControl/>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污染物名称</w:t>
                  </w:r>
                </w:p>
              </w:tc>
              <w:tc>
                <w:tcPr>
                  <w:tcW w:w="1670" w:type="pct"/>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bCs/>
                      <w:color w:val="auto"/>
                      <w:szCs w:val="21"/>
                      <w:highlight w:val="none"/>
                      <w:lang w:val="en-US" w:eastAsia="zh-CN"/>
                    </w:rPr>
                    <w:t>新华路厂区</w:t>
                  </w:r>
                  <w:r>
                    <w:rPr>
                      <w:rFonts w:hint="default" w:ascii="Times New Roman" w:hAnsi="Times New Roman" w:eastAsia="宋体" w:cs="Times New Roman"/>
                      <w:b/>
                      <w:bCs/>
                      <w:color w:val="auto"/>
                      <w:szCs w:val="21"/>
                      <w:highlight w:val="none"/>
                    </w:rPr>
                    <w:t>许可排放量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w:t>
                  </w:r>
                </w:p>
              </w:tc>
              <w:tc>
                <w:tcPr>
                  <w:tcW w:w="803" w:type="pct"/>
                  <w:gridSpan w:val="2"/>
                  <w:vMerge w:val="restart"/>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有组织</w:t>
                  </w:r>
                </w:p>
              </w:tc>
              <w:tc>
                <w:tcPr>
                  <w:tcW w:w="1622" w:type="pct"/>
                  <w:noWrap w:val="0"/>
                  <w:vAlign w:val="center"/>
                </w:tcPr>
                <w:p>
                  <w:pPr>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油烟</w:t>
                  </w:r>
                </w:p>
              </w:tc>
              <w:tc>
                <w:tcPr>
                  <w:tcW w:w="16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1622" w:type="pct"/>
                  <w:noWrap w:val="0"/>
                  <w:vAlign w:val="center"/>
                </w:tcPr>
                <w:p>
                  <w:pPr>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铬酸雾</w:t>
                  </w:r>
                </w:p>
              </w:tc>
              <w:tc>
                <w:tcPr>
                  <w:tcW w:w="16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1622" w:type="pct"/>
                  <w:noWrap w:val="0"/>
                  <w:vAlign w:val="center"/>
                </w:tcPr>
                <w:p>
                  <w:pPr>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非甲烷总烃</w:t>
                  </w:r>
                </w:p>
              </w:tc>
              <w:tc>
                <w:tcPr>
                  <w:tcW w:w="16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3.6995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1622" w:type="pct"/>
                  <w:noWrap w:val="0"/>
                  <w:vAlign w:val="center"/>
                </w:tcPr>
                <w:p>
                  <w:pPr>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颗粒物</w:t>
                  </w:r>
                </w:p>
              </w:tc>
              <w:tc>
                <w:tcPr>
                  <w:tcW w:w="16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0.1877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1622" w:type="pct"/>
                  <w:noWrap w:val="0"/>
                  <w:vAlign w:val="center"/>
                </w:tcPr>
                <w:p>
                  <w:pPr>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烟尘</w:t>
                  </w:r>
                </w:p>
              </w:tc>
              <w:tc>
                <w:tcPr>
                  <w:tcW w:w="16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SO</w:t>
                  </w:r>
                  <w:r>
                    <w:rPr>
                      <w:rFonts w:hint="default" w:ascii="Times New Roman" w:hAnsi="Times New Roman" w:eastAsia="宋体" w:cs="Times New Roman"/>
                      <w:color w:val="auto"/>
                      <w:szCs w:val="21"/>
                      <w:highlight w:val="none"/>
                      <w:vertAlign w:val="subscript"/>
                    </w:rPr>
                    <w:t>2</w:t>
                  </w:r>
                </w:p>
              </w:tc>
              <w:tc>
                <w:tcPr>
                  <w:tcW w:w="16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6"/>
                      <w:szCs w:val="21"/>
                      <w:highlight w:val="none"/>
                    </w:rPr>
                    <w:t>NO</w:t>
                  </w:r>
                  <w:r>
                    <w:rPr>
                      <w:rFonts w:hint="default" w:ascii="Times New Roman" w:hAnsi="Times New Roman" w:eastAsia="宋体" w:cs="Times New Roman"/>
                      <w:color w:val="auto"/>
                      <w:spacing w:val="6"/>
                      <w:szCs w:val="21"/>
                      <w:highlight w:val="none"/>
                      <w:vertAlign w:val="subscript"/>
                    </w:rPr>
                    <w:t>x</w:t>
                  </w:r>
                </w:p>
              </w:tc>
              <w:tc>
                <w:tcPr>
                  <w:tcW w:w="16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lang w:val="en-US" w:eastAsia="zh-CN"/>
                    </w:rPr>
                    <w:t>166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S</w:t>
                  </w:r>
                </w:p>
              </w:tc>
              <w:tc>
                <w:tcPr>
                  <w:tcW w:w="16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NH</w:t>
                  </w:r>
                  <w:r>
                    <w:rPr>
                      <w:rFonts w:hint="default" w:ascii="Times New Roman" w:hAnsi="Times New Roman" w:eastAsia="宋体" w:cs="Times New Roman"/>
                      <w:color w:val="auto"/>
                      <w:szCs w:val="21"/>
                      <w:highlight w:val="none"/>
                      <w:vertAlign w:val="subscript"/>
                    </w:rPr>
                    <w:t>3</w:t>
                  </w:r>
                </w:p>
              </w:tc>
              <w:tc>
                <w:tcPr>
                  <w:tcW w:w="16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restart"/>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无组织</w:t>
                  </w:r>
                </w:p>
              </w:tc>
              <w:tc>
                <w:tcPr>
                  <w:tcW w:w="1622" w:type="pct"/>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非甲烷总烃</w:t>
                  </w:r>
                </w:p>
              </w:tc>
              <w:tc>
                <w:tcPr>
                  <w:tcW w:w="1670"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w:t>
                  </w:r>
                  <w:r>
                    <w:rPr>
                      <w:rFonts w:hint="eastAsia" w:cs="Times New Roman"/>
                      <w:color w:val="auto"/>
                      <w:sz w:val="21"/>
                      <w:szCs w:val="21"/>
                      <w:highlight w:val="none"/>
                      <w:lang w:val="en-US" w:eastAsia="zh-CN"/>
                    </w:rPr>
                    <w:t>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氨气</w:t>
                  </w:r>
                </w:p>
              </w:tc>
              <w:tc>
                <w:tcPr>
                  <w:tcW w:w="16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0.00001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颗粒物</w:t>
                  </w:r>
                </w:p>
              </w:tc>
              <w:tc>
                <w:tcPr>
                  <w:tcW w:w="16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06</w:t>
                  </w:r>
                  <w:r>
                    <w:rPr>
                      <w:rFonts w:hint="eastAsia" w:cs="Times New Roman"/>
                      <w:color w:val="auto"/>
                      <w:sz w:val="21"/>
                      <w:szCs w:val="21"/>
                      <w:highlight w:val="none"/>
                      <w:lang w:val="en-US" w:eastAsia="zh-CN"/>
                    </w:rPr>
                    <w:t>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29" w:type="pct"/>
                  <w:gridSpan w:val="4"/>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污染物名称</w:t>
                  </w:r>
                </w:p>
              </w:tc>
              <w:tc>
                <w:tcPr>
                  <w:tcW w:w="1670"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全厂总量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803" w:type="pct"/>
                  <w:gridSpan w:val="2"/>
                  <w:vMerge w:val="restart"/>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生活污水</w:t>
                  </w: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废水量</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219686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74.3675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41.2998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氨氮</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5.4117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总磷</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0.7974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总氮</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7.9901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动植物油</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5.757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石油类</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0.9575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restart"/>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生产废水</w:t>
                  </w: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废水量</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28742.9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2.5266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3.1464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合计</w:t>
                  </w: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废水量</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248428.9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76.8941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44.4462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氨氮</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5.4117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总磷</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0.7974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总氮</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7.9901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动植物油</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5.757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石油类</w:t>
                  </w:r>
                </w:p>
              </w:tc>
              <w:tc>
                <w:tcPr>
                  <w:tcW w:w="1670" w:type="pct"/>
                  <w:noWrap w:val="0"/>
                  <w:vAlign w:val="center"/>
                </w:tcPr>
                <w:p>
                  <w:pPr>
                    <w:keepNext w:val="0"/>
                    <w:keepLines w:val="0"/>
                    <w:widowControl/>
                    <w:suppressLineNumbers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0.9575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清下水</w:t>
                  </w: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废水量</w:t>
                  </w:r>
                </w:p>
              </w:tc>
              <w:tc>
                <w:tcPr>
                  <w:tcW w:w="16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16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4"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803"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1622"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167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29" w:type="pct"/>
                  <w:gridSpan w:val="4"/>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污染物名称</w:t>
                  </w:r>
                </w:p>
              </w:tc>
              <w:tc>
                <w:tcPr>
                  <w:tcW w:w="1670"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全厂利用及处置量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废金属边角料(含不合格品、金属氧化物等)</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废VCM部件</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废滤网</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0.451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废滤芯</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废弃膜电极组件</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9485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废弃电堆</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铬靶</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Cs w:val="21"/>
                      <w:highlight w:val="none"/>
                    </w:rPr>
                    <w:t>收集的金属粉尘</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17.1377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收集的其他粉尘</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0.0693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废过滤材料（滤袋、石英砂、活性炭等）</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废膜组件</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废玻璃钢珠</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废钢珠</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废保险丝</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LED灯管</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生活垃圾</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334.5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食堂泔脚</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336.5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含铬挡板</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表面处理废液</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507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废油（含废磨料）</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431.625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废油桶</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50.534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化学品容器</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15.505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有机溶剂</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1.4017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废酸</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spacing w:beforeLines="0" w:afterLines="0"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废滤芯、手套等（含铬）</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含铬废物（液体）</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污水处理污泥</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含油废物（砂轮灰、金属屑）</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370.02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含油废物（滤芯、滤布、毛刷、过滤材料、滤纸等）</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86.06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医疗废物</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含汞灯管</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废蓄电池</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废试剂</w:t>
                  </w:r>
                </w:p>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（实验室废液）</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spacing w:beforeLines="0" w:afterLines="0"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烃水混合物（废尿素溶液）</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废弃化学品</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废活性炭</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eastAsia" w:ascii="Times New Roman" w:cs="Times New Roman"/>
                      <w:b w:val="0"/>
                      <w:bCs w:val="0"/>
                      <w:color w:val="auto"/>
                      <w:szCs w:val="21"/>
                      <w:highlight w:val="none"/>
                      <w:lang w:val="en-US" w:eastAsia="zh-CN"/>
                    </w:rPr>
                    <w:t>不</w:t>
                  </w:r>
                  <w:r>
                    <w:rPr>
                      <w:rFonts w:hint="default" w:ascii="Times New Roman" w:hAnsi="Times New Roman" w:eastAsia="宋体" w:cs="Times New Roman"/>
                      <w:b w:val="0"/>
                      <w:bCs w:val="0"/>
                      <w:color w:val="auto"/>
                      <w:szCs w:val="21"/>
                      <w:highlight w:val="none"/>
                    </w:rPr>
                    <w:t>含油废物（废弃</w:t>
                  </w:r>
                  <w:r>
                    <w:rPr>
                      <w:rFonts w:hint="eastAsia" w:ascii="Times New Roman" w:cs="Times New Roman"/>
                      <w:b w:val="0"/>
                      <w:bCs w:val="0"/>
                      <w:color w:val="auto"/>
                      <w:szCs w:val="21"/>
                      <w:highlight w:val="none"/>
                      <w:lang w:val="en-US" w:eastAsia="zh-CN"/>
                    </w:rPr>
                    <w:t>不</w:t>
                  </w:r>
                  <w:r>
                    <w:rPr>
                      <w:rFonts w:hint="default" w:ascii="Times New Roman" w:hAnsi="Times New Roman" w:eastAsia="宋体" w:cs="Times New Roman"/>
                      <w:b w:val="0"/>
                      <w:bCs w:val="0"/>
                      <w:color w:val="auto"/>
                      <w:szCs w:val="21"/>
                      <w:highlight w:val="none"/>
                    </w:rPr>
                    <w:t>含油抹布、劳保用品）</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eastAsia" w:cs="Times New Roman"/>
                      <w:b w:val="0"/>
                      <w:bCs w:val="0"/>
                      <w:i w:val="0"/>
                      <w:iCs w:val="0"/>
                      <w:color w:val="auto"/>
                      <w:kern w:val="0"/>
                      <w:sz w:val="21"/>
                      <w:szCs w:val="21"/>
                      <w:u w:val="non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废碱液</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浓缩废液</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287.6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离心分离和</w:t>
                  </w:r>
                </w:p>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超滤废液</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rPr>
                  </w:pPr>
                  <w:r>
                    <w:rPr>
                      <w:rFonts w:hint="eastAsia" w:cs="Times New Roman"/>
                      <w:b w:val="0"/>
                      <w:bCs w:val="0"/>
                      <w:i w:val="0"/>
                      <w:iCs w:val="0"/>
                      <w:color w:val="auto"/>
                      <w:kern w:val="0"/>
                      <w:sz w:val="21"/>
                      <w:szCs w:val="21"/>
                      <w:u w:val="none"/>
                      <w:lang w:val="en-US" w:eastAsia="zh-CN" w:bidi="ar"/>
                    </w:rPr>
                    <w:t>435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eastAsia" w:ascii="Times New Roman" w:cs="Times New Roman"/>
                      <w:b w:val="0"/>
                      <w:bCs w:val="0"/>
                      <w:color w:val="auto"/>
                      <w:szCs w:val="21"/>
                      <w:highlight w:val="none"/>
                      <w:lang w:val="en-US" w:eastAsia="zh-CN"/>
                    </w:rPr>
                    <w:t>废过滤材料</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0" w:type="pct"/>
                  <w:gridSpan w:val="2"/>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100" w:type="dxa"/>
                  <w:gridSpan w:val="2"/>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废塑料、废纸箱、废木栈板</w:t>
                  </w:r>
                </w:p>
              </w:tc>
              <w:tc>
                <w:tcPr>
                  <w:tcW w:w="2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1250</w:t>
                  </w:r>
                </w:p>
              </w:tc>
            </w:tr>
          </w:tbl>
          <w:p>
            <w:pPr>
              <w:keepNext w:val="0"/>
              <w:keepLines w:val="0"/>
              <w:pageBreakBefore w:val="0"/>
              <w:widowControl w:val="0"/>
              <w:numPr>
                <w:ilvl w:val="0"/>
                <w:numId w:val="5"/>
              </w:numPr>
              <w:tabs>
                <w:tab w:val="left" w:pos="425"/>
                <w:tab w:val="clear" w:pos="0"/>
              </w:tabs>
              <w:kinsoku/>
              <w:wordWrap/>
              <w:overflowPunct/>
              <w:topLinePunct w:val="0"/>
              <w:bidi w:val="0"/>
              <w:adjustRightInd w:val="0"/>
              <w:snapToGrid w:val="0"/>
              <w:spacing w:line="460" w:lineRule="exac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现有项目存在的主要环保问题</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lang w:val="en-US" w:eastAsia="zh-CN"/>
              </w:rPr>
              <w:t>无</w:t>
            </w:r>
            <w:r>
              <w:rPr>
                <w:rFonts w:hint="default" w:ascii="Times New Roman" w:hAnsi="Times New Roman" w:eastAsia="宋体" w:cs="Times New Roman"/>
                <w:snapToGrid w:val="0"/>
                <w:color w:val="auto"/>
                <w:kern w:val="0"/>
                <w:sz w:val="24"/>
                <w:highlight w:val="none"/>
              </w:rPr>
              <w:t>。</w:t>
            </w:r>
          </w:p>
          <w:p>
            <w:pPr>
              <w:keepNext w:val="0"/>
              <w:keepLines w:val="0"/>
              <w:pageBreakBefore w:val="0"/>
              <w:widowControl w:val="0"/>
              <w:numPr>
                <w:ilvl w:val="0"/>
                <w:numId w:val="5"/>
              </w:numPr>
              <w:tabs>
                <w:tab w:val="left" w:pos="425"/>
                <w:tab w:val="clear" w:pos="0"/>
              </w:tabs>
              <w:kinsoku/>
              <w:wordWrap/>
              <w:overflowPunct/>
              <w:topLinePunct w:val="0"/>
              <w:bidi w:val="0"/>
              <w:adjustRightInd w:val="0"/>
              <w:snapToGrid w:val="0"/>
              <w:spacing w:line="460" w:lineRule="exac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有无居民投诉、扰民等现象</w:t>
            </w:r>
          </w:p>
          <w:p>
            <w:pPr>
              <w:keepNext w:val="0"/>
              <w:keepLines w:val="0"/>
              <w:pageBreakBefore w:val="0"/>
              <w:widowControl w:val="0"/>
              <w:kinsoku/>
              <w:wordWrap/>
              <w:overflowPunct/>
              <w:topLinePunct w:val="0"/>
              <w:bidi w:val="0"/>
              <w:adjustRightInd w:val="0"/>
              <w:snapToGrid w:val="0"/>
              <w:spacing w:line="460" w:lineRule="exact"/>
              <w:ind w:firstLine="470" w:firstLineChars="196"/>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无。</w:t>
            </w:r>
          </w:p>
          <w:p>
            <w:pPr>
              <w:keepNext w:val="0"/>
              <w:keepLines w:val="0"/>
              <w:pageBreakBefore w:val="0"/>
              <w:widowControl w:val="0"/>
              <w:numPr>
                <w:ilvl w:val="0"/>
                <w:numId w:val="5"/>
              </w:numPr>
              <w:tabs>
                <w:tab w:val="left" w:pos="425"/>
                <w:tab w:val="clear" w:pos="0"/>
              </w:tabs>
              <w:kinsoku/>
              <w:wordWrap/>
              <w:overflowPunct/>
              <w:topLinePunct w:val="0"/>
              <w:bidi w:val="0"/>
              <w:adjustRightInd w:val="0"/>
              <w:snapToGrid w:val="0"/>
              <w:spacing w:line="460" w:lineRule="exac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“以新带老”情况</w:t>
            </w:r>
          </w:p>
          <w:p>
            <w:pPr>
              <w:keepNext w:val="0"/>
              <w:keepLines w:val="0"/>
              <w:pageBreakBefore w:val="0"/>
              <w:widowControl w:val="0"/>
              <w:kinsoku/>
              <w:wordWrap/>
              <w:overflowPunct/>
              <w:topLinePunct w:val="0"/>
              <w:bidi w:val="0"/>
              <w:adjustRightInd w:val="0"/>
              <w:snapToGrid w:val="0"/>
              <w:spacing w:line="460" w:lineRule="exact"/>
              <w:ind w:firstLine="470" w:firstLineChars="196"/>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1、302车间废气排放“以新带老”情况说明</w:t>
            </w:r>
          </w:p>
          <w:p>
            <w:pPr>
              <w:keepNext w:val="0"/>
              <w:keepLines w:val="0"/>
              <w:pageBreakBefore w:val="0"/>
              <w:kinsoku/>
              <w:wordWrap/>
              <w:overflowPunct/>
              <w:topLinePunct w:val="0"/>
              <w:autoSpaceDE/>
              <w:autoSpaceDN/>
              <w:bidi w:val="0"/>
              <w:adjustRightInd w:val="0"/>
              <w:snapToGrid w:val="0"/>
              <w:spacing w:line="500" w:lineRule="exact"/>
              <w:ind w:right="0" w:firstLine="482"/>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现有项目</w:t>
            </w:r>
            <w:r>
              <w:rPr>
                <w:rFonts w:hint="eastAsia" w:ascii="Times New Roman" w:hAnsi="Times New Roman" w:eastAsia="宋体" w:cs="Times New Roman"/>
                <w:color w:val="auto"/>
                <w:sz w:val="24"/>
                <w:highlight w:val="none"/>
                <w:lang w:val="en-US" w:eastAsia="zh-CN"/>
              </w:rPr>
              <w:t>302车间</w:t>
            </w:r>
            <w:r>
              <w:rPr>
                <w:rFonts w:hint="eastAsia" w:cs="Times New Roman"/>
                <w:color w:val="auto"/>
                <w:sz w:val="24"/>
                <w:highlight w:val="none"/>
                <w:lang w:val="en-US" w:eastAsia="zh-CN"/>
              </w:rPr>
              <w:t>共轨油嘴生产线，产生的污染物为非甲烷总烃，经中央过滤器处理后，通过</w:t>
            </w:r>
            <w:r>
              <w:rPr>
                <w:rFonts w:hint="eastAsia" w:ascii="Times New Roman" w:hAnsi="Times New Roman" w:eastAsia="宋体" w:cs="Times New Roman"/>
                <w:color w:val="auto"/>
                <w:sz w:val="24"/>
                <w:highlight w:val="none"/>
                <w:lang w:val="en-US" w:eastAsia="zh-CN"/>
              </w:rPr>
              <w:t>排气筒FQ-0</w:t>
            </w:r>
            <w:r>
              <w:rPr>
                <w:rFonts w:hint="eastAsia" w:cs="Times New Roman"/>
                <w:color w:val="auto"/>
                <w:sz w:val="24"/>
                <w:highlight w:val="none"/>
                <w:lang w:val="en-US" w:eastAsia="zh-CN"/>
              </w:rPr>
              <w:t>1排放，排放量为</w:t>
            </w:r>
            <w:r>
              <w:rPr>
                <w:rFonts w:hint="eastAsia" w:ascii="Times New Roman" w:hAnsi="Times New Roman" w:eastAsia="宋体" w:cs="Times New Roman"/>
                <w:color w:val="auto"/>
                <w:sz w:val="24"/>
                <w:highlight w:val="none"/>
                <w:lang w:val="en-US" w:eastAsia="zh-CN"/>
              </w:rPr>
              <w:t>1.9</w:t>
            </w:r>
            <w:r>
              <w:rPr>
                <w:rFonts w:hint="eastAsia" w:cs="Times New Roman"/>
                <w:color w:val="auto"/>
                <w:sz w:val="24"/>
                <w:highlight w:val="none"/>
                <w:lang w:val="en-US" w:eastAsia="zh-CN"/>
              </w:rPr>
              <w:t>691</w:t>
            </w:r>
            <w:r>
              <w:rPr>
                <w:rFonts w:hint="eastAsia"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根据企业《</w:t>
            </w:r>
            <w:r>
              <w:rPr>
                <w:rFonts w:hint="default" w:ascii="Times New Roman" w:hAnsi="Times New Roman" w:eastAsia="宋体" w:cs="Times New Roman"/>
                <w:color w:val="auto"/>
                <w:sz w:val="24"/>
                <w:highlight w:val="none"/>
              </w:rPr>
              <w:t>共轨油嘴产能提升至2000万付项目</w:t>
            </w:r>
            <w:r>
              <w:rPr>
                <w:rFonts w:hint="eastAsia" w:cs="Times New Roman"/>
                <w:color w:val="auto"/>
                <w:sz w:val="24"/>
                <w:highlight w:val="none"/>
                <w:lang w:eastAsia="zh-CN"/>
              </w:rPr>
              <w:t>》</w:t>
            </w:r>
            <w:r>
              <w:rPr>
                <w:rFonts w:hint="eastAsia" w:cs="Times New Roman"/>
                <w:color w:val="auto"/>
                <w:sz w:val="24"/>
                <w:highlight w:val="none"/>
                <w:lang w:val="en-US" w:eastAsia="zh-CN"/>
              </w:rPr>
              <w:t>验收报告，302车间废气排放情况见表2-16。</w:t>
            </w:r>
          </w:p>
          <w:p>
            <w:pPr>
              <w:pStyle w:val="2"/>
              <w:keepNext w:val="0"/>
              <w:keepLines w:val="0"/>
              <w:pageBreakBefore w:val="0"/>
              <w:kinsoku/>
              <w:wordWrap/>
              <w:overflowPunct/>
              <w:topLinePunct w:val="0"/>
              <w:autoSpaceDE/>
              <w:autoSpaceDN/>
              <w:bidi w:val="0"/>
              <w:snapToGrid w:val="0"/>
              <w:spacing w:before="0" w:after="0" w:line="500" w:lineRule="exact"/>
              <w:ind w:right="0"/>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hint="eastAsia" w:cs="Times New Roman"/>
                <w:b/>
                <w:color w:val="auto"/>
                <w:kern w:val="2"/>
                <w:sz w:val="24"/>
                <w:szCs w:val="24"/>
                <w:highlight w:val="none"/>
                <w:lang w:val="en-US" w:eastAsia="zh-CN" w:bidi="ar-SA"/>
              </w:rPr>
              <w:t xml:space="preserve">表2-16   </w:t>
            </w:r>
            <w:r>
              <w:rPr>
                <w:rFonts w:hint="default" w:ascii="Times New Roman" w:hAnsi="Times New Roman" w:eastAsia="宋体" w:cs="Times New Roman"/>
                <w:b/>
                <w:color w:val="auto"/>
                <w:kern w:val="2"/>
                <w:sz w:val="24"/>
                <w:szCs w:val="24"/>
                <w:highlight w:val="none"/>
                <w:lang w:val="en-US" w:eastAsia="zh-CN" w:bidi="ar-SA"/>
              </w:rPr>
              <w:t>现有项目新华路厂区</w:t>
            </w:r>
            <w:r>
              <w:rPr>
                <w:rFonts w:hint="eastAsia" w:cs="Times New Roman"/>
                <w:b/>
                <w:color w:val="auto"/>
                <w:kern w:val="2"/>
                <w:sz w:val="24"/>
                <w:szCs w:val="24"/>
                <w:highlight w:val="none"/>
                <w:lang w:val="en-US" w:eastAsia="zh-CN" w:bidi="ar-SA"/>
              </w:rPr>
              <w:t>302车间FQ-01排气筒废气</w:t>
            </w:r>
            <w:r>
              <w:rPr>
                <w:rFonts w:hint="default" w:ascii="Times New Roman" w:hAnsi="Times New Roman" w:eastAsia="宋体" w:cs="Times New Roman"/>
                <w:b/>
                <w:color w:val="auto"/>
                <w:kern w:val="2"/>
                <w:sz w:val="24"/>
                <w:szCs w:val="24"/>
                <w:highlight w:val="none"/>
                <w:lang w:val="en-US" w:eastAsia="zh-CN" w:bidi="ar-SA"/>
              </w:rPr>
              <w:t>排放情况一览表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286"/>
              <w:gridCol w:w="3221"/>
              <w:gridCol w:w="2207"/>
              <w:gridCol w:w="1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11" w:type="dxa"/>
                  <w:noWrap w:val="0"/>
                  <w:vAlign w:val="center"/>
                </w:tcPr>
                <w:p>
                  <w:pPr>
                    <w:spacing w:line="240" w:lineRule="auto"/>
                    <w:jc w:val="center"/>
                    <w:rPr>
                      <w:rFonts w:hint="eastAsia" w:ascii="Times New Roman" w:hAnsi="Times New Roman" w:eastAsia="宋体" w:cs="Times New Roman"/>
                      <w:b/>
                      <w:color w:val="auto"/>
                      <w:szCs w:val="21"/>
                      <w:highlight w:val="none"/>
                      <w:lang w:eastAsia="zh-CN"/>
                    </w:rPr>
                  </w:pPr>
                  <w:r>
                    <w:rPr>
                      <w:rFonts w:hint="eastAsia" w:cs="Times New Roman"/>
                      <w:b/>
                      <w:color w:val="auto"/>
                      <w:szCs w:val="21"/>
                      <w:highlight w:val="none"/>
                      <w:lang w:val="en-US" w:eastAsia="zh-CN"/>
                    </w:rPr>
                    <w:t>类别</w:t>
                  </w:r>
                </w:p>
              </w:tc>
              <w:tc>
                <w:tcPr>
                  <w:tcW w:w="1286" w:type="dxa"/>
                  <w:noWrap w:val="0"/>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污染物名称</w:t>
                  </w:r>
                </w:p>
              </w:tc>
              <w:tc>
                <w:tcPr>
                  <w:tcW w:w="3221" w:type="dxa"/>
                  <w:noWrap w:val="0"/>
                  <w:vAlign w:val="center"/>
                </w:tcPr>
                <w:p>
                  <w:pPr>
                    <w:spacing w:line="240" w:lineRule="auto"/>
                    <w:jc w:val="center"/>
                    <w:rPr>
                      <w:rFonts w:hint="default" w:ascii="Times New Roman" w:hAnsi="Times New Roman" w:eastAsia="宋体" w:cs="Times New Roman"/>
                      <w:b/>
                      <w:color w:val="auto"/>
                      <w:szCs w:val="21"/>
                      <w:highlight w:val="none"/>
                      <w:lang w:val="en-US" w:eastAsia="zh-CN"/>
                    </w:rPr>
                  </w:pPr>
                  <w:r>
                    <w:rPr>
                      <w:rFonts w:hint="eastAsia" w:cs="Times New Roman"/>
                      <w:b/>
                      <w:color w:val="auto"/>
                      <w:szCs w:val="21"/>
                      <w:highlight w:val="none"/>
                      <w:lang w:val="en-US" w:eastAsia="zh-CN"/>
                    </w:rPr>
                    <w:t>FQ-01环评及批复核定总量（t/a）</w:t>
                  </w:r>
                </w:p>
              </w:tc>
              <w:tc>
                <w:tcPr>
                  <w:tcW w:w="2207" w:type="dxa"/>
                  <w:noWrap w:val="0"/>
                  <w:vAlign w:val="center"/>
                </w:tcPr>
                <w:p>
                  <w:pPr>
                    <w:spacing w:line="240" w:lineRule="auto"/>
                    <w:jc w:val="center"/>
                    <w:rPr>
                      <w:rFonts w:hint="default" w:ascii="Times New Roman" w:hAnsi="Times New Roman" w:eastAsia="宋体" w:cs="Times New Roman"/>
                      <w:b/>
                      <w:color w:val="auto"/>
                      <w:szCs w:val="21"/>
                      <w:highlight w:val="none"/>
                      <w:lang w:val="en-US" w:eastAsia="zh-CN"/>
                    </w:rPr>
                  </w:pPr>
                  <w:r>
                    <w:rPr>
                      <w:rFonts w:hint="eastAsia" w:cs="Times New Roman"/>
                      <w:b/>
                      <w:color w:val="auto"/>
                      <w:szCs w:val="21"/>
                      <w:highlight w:val="none"/>
                      <w:lang w:val="en-US" w:eastAsia="zh-CN"/>
                    </w:rPr>
                    <w:t>实际年排放量（t/a）</w:t>
                  </w:r>
                </w:p>
              </w:tc>
              <w:tc>
                <w:tcPr>
                  <w:tcW w:w="1190" w:type="dxa"/>
                  <w:noWrap w:val="0"/>
                  <w:vAlign w:val="center"/>
                </w:tcPr>
                <w:p>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11" w:type="dxa"/>
                  <w:noWrap w:val="0"/>
                  <w:vAlign w:val="center"/>
                </w:tcPr>
                <w:p>
                  <w:pPr>
                    <w:spacing w:line="240" w:lineRule="auto"/>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废气</w:t>
                  </w:r>
                </w:p>
              </w:tc>
              <w:tc>
                <w:tcPr>
                  <w:tcW w:w="1286" w:type="dxa"/>
                  <w:noWrap w:val="0"/>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非甲烷总烃</w:t>
                  </w:r>
                </w:p>
              </w:tc>
              <w:tc>
                <w:tcPr>
                  <w:tcW w:w="3221" w:type="dxa"/>
                  <w:noWrap w:val="0"/>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1.9691</w:t>
                  </w:r>
                </w:p>
              </w:tc>
              <w:tc>
                <w:tcPr>
                  <w:tcW w:w="2207" w:type="dxa"/>
                  <w:noWrap w:val="0"/>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0.2856</w:t>
                  </w:r>
                </w:p>
              </w:tc>
              <w:tc>
                <w:tcPr>
                  <w:tcW w:w="1190" w:type="dxa"/>
                  <w:noWrap w:val="0"/>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bl>
          <w:p/>
          <w:p>
            <w:pPr>
              <w:spacing w:line="500" w:lineRule="exact"/>
              <w:ind w:firstLine="480" w:firstLineChars="200"/>
              <w:jc w:val="left"/>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现</w:t>
            </w:r>
            <w:r>
              <w:rPr>
                <w:rFonts w:hint="eastAsia" w:cs="Times New Roman"/>
                <w:color w:val="auto"/>
                <w:sz w:val="24"/>
                <w:highlight w:val="none"/>
                <w:lang w:val="en-US" w:eastAsia="zh-CN"/>
              </w:rPr>
              <w:t>拟在</w:t>
            </w:r>
            <w:r>
              <w:rPr>
                <w:rFonts w:hint="eastAsia" w:ascii="Times New Roman" w:hAnsi="Times New Roman" w:eastAsia="宋体" w:cs="Times New Roman"/>
                <w:color w:val="auto"/>
                <w:sz w:val="24"/>
                <w:highlight w:val="none"/>
                <w:lang w:val="en-US" w:eastAsia="zh-CN"/>
              </w:rPr>
              <w:t>原有一套废气处理设施（中央过滤器）的基础上，再新建一套废气处理设施（中央过滤器）和一根新15米高排气筒FQ-</w:t>
            </w:r>
            <w:r>
              <w:rPr>
                <w:rFonts w:hint="eastAsia" w:cs="Times New Roman"/>
                <w:color w:val="auto"/>
                <w:sz w:val="24"/>
                <w:highlight w:val="none"/>
                <w:lang w:val="en-US" w:eastAsia="zh-CN"/>
              </w:rPr>
              <w:t>44</w:t>
            </w:r>
            <w:r>
              <w:rPr>
                <w:rFonts w:hint="eastAsia" w:ascii="Times New Roman" w:hAnsi="Times New Roman" w:eastAsia="宋体" w:cs="Times New Roman"/>
                <w:color w:val="auto"/>
                <w:sz w:val="24"/>
                <w:highlight w:val="none"/>
                <w:lang w:val="en-US" w:eastAsia="zh-CN"/>
              </w:rPr>
              <w:t>，将302车间</w:t>
            </w:r>
            <w:r>
              <w:rPr>
                <w:rFonts w:hint="eastAsia" w:cs="Times New Roman"/>
                <w:color w:val="auto"/>
                <w:sz w:val="24"/>
                <w:highlight w:val="none"/>
                <w:lang w:val="en-US" w:eastAsia="zh-CN"/>
              </w:rPr>
              <w:t>共轨油嘴生产线南区的</w:t>
            </w:r>
            <w:r>
              <w:rPr>
                <w:rFonts w:hint="eastAsia" w:ascii="Times New Roman" w:hAnsi="Times New Roman" w:eastAsia="宋体" w:cs="Times New Roman"/>
                <w:color w:val="auto"/>
                <w:sz w:val="24"/>
                <w:highlight w:val="none"/>
                <w:lang w:val="en-US" w:eastAsia="zh-CN"/>
              </w:rPr>
              <w:t>的设备废气管道接管至新废气处理设施，经FQ-</w:t>
            </w:r>
            <w:r>
              <w:rPr>
                <w:rFonts w:hint="eastAsia" w:cs="Times New Roman"/>
                <w:color w:val="auto"/>
                <w:sz w:val="24"/>
                <w:highlight w:val="none"/>
                <w:lang w:val="en-US" w:eastAsia="zh-CN"/>
              </w:rPr>
              <w:t>44</w:t>
            </w:r>
            <w:r>
              <w:rPr>
                <w:rFonts w:hint="eastAsia" w:ascii="Times New Roman" w:hAnsi="Times New Roman" w:eastAsia="宋体" w:cs="Times New Roman"/>
                <w:color w:val="auto"/>
                <w:sz w:val="24"/>
                <w:highlight w:val="none"/>
                <w:lang w:val="en-US" w:eastAsia="zh-CN"/>
              </w:rPr>
              <w:t>排放</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拟将FQ-01非甲烷总烃排放量的40%转移至新排气筒FQ-</w:t>
            </w:r>
            <w:r>
              <w:rPr>
                <w:rFonts w:hint="eastAsia" w:cs="Times New Roman"/>
                <w:color w:val="auto"/>
                <w:sz w:val="24"/>
                <w:highlight w:val="none"/>
                <w:lang w:val="en-US" w:eastAsia="zh-CN"/>
              </w:rPr>
              <w:t>44。302车间非甲烷总烃有组织排放情况见下表2-17。</w:t>
            </w:r>
          </w:p>
          <w:p>
            <w:pPr>
              <w:spacing w:line="500" w:lineRule="exact"/>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eastAsia" w:cs="Times New Roman"/>
                <w:b/>
                <w:color w:val="auto"/>
                <w:sz w:val="24"/>
                <w:highlight w:val="none"/>
                <w:lang w:val="en-US" w:eastAsia="zh-CN"/>
              </w:rPr>
              <w:t>17</w:t>
            </w:r>
            <w:r>
              <w:rPr>
                <w:rFonts w:hint="default" w:ascii="Times New Roman" w:hAnsi="Times New Roman" w:eastAsia="宋体" w:cs="Times New Roman"/>
                <w:b/>
                <w:color w:val="auto"/>
                <w:sz w:val="24"/>
                <w:highlight w:val="none"/>
              </w:rPr>
              <w:t xml:space="preserve">   </w:t>
            </w:r>
            <w:r>
              <w:rPr>
                <w:rFonts w:hint="eastAsia" w:cs="Times New Roman"/>
                <w:b/>
                <w:color w:val="auto"/>
                <w:sz w:val="24"/>
                <w:highlight w:val="none"/>
                <w:lang w:val="en-US" w:eastAsia="zh-CN"/>
              </w:rPr>
              <w:t>302车间共轨油嘴生产线污染物</w:t>
            </w:r>
            <w:r>
              <w:rPr>
                <w:rFonts w:hint="default" w:ascii="Times New Roman" w:hAnsi="Times New Roman" w:eastAsia="宋体" w:cs="Times New Roman"/>
                <w:b/>
                <w:color w:val="auto"/>
                <w:sz w:val="24"/>
                <w:highlight w:val="none"/>
              </w:rPr>
              <w:t>排放</w:t>
            </w:r>
            <w:r>
              <w:rPr>
                <w:rFonts w:hint="eastAsia" w:cs="Times New Roman"/>
                <w:b/>
                <w:color w:val="auto"/>
                <w:sz w:val="24"/>
                <w:highlight w:val="none"/>
                <w:lang w:val="en-US" w:eastAsia="zh-CN"/>
              </w:rPr>
              <w:t>汇总</w:t>
            </w:r>
            <w:r>
              <w:rPr>
                <w:rFonts w:hint="default" w:ascii="Times New Roman" w:hAnsi="Times New Roman" w:eastAsia="宋体" w:cs="Times New Roman"/>
                <w:b/>
                <w:color w:val="auto"/>
                <w:sz w:val="24"/>
                <w:highlight w:val="none"/>
              </w:rPr>
              <w:t>表</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52"/>
              <w:gridCol w:w="1464"/>
              <w:gridCol w:w="1421"/>
              <w:gridCol w:w="1332"/>
              <w:gridCol w:w="17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Merge w:val="restart"/>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污染源</w:t>
                  </w:r>
                </w:p>
              </w:tc>
              <w:tc>
                <w:tcPr>
                  <w:tcW w:w="1464" w:type="dxa"/>
                  <w:vMerge w:val="restart"/>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污染物</w:t>
                  </w:r>
                </w:p>
              </w:tc>
              <w:tc>
                <w:tcPr>
                  <w:tcW w:w="2753" w:type="dxa"/>
                  <w:gridSpan w:val="2"/>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排气筒</w:t>
                  </w:r>
                </w:p>
              </w:tc>
              <w:tc>
                <w:tcPr>
                  <w:tcW w:w="1735" w:type="dxa"/>
                  <w:vMerge w:val="restart"/>
                  <w:vAlign w:val="center"/>
                </w:tcPr>
                <w:p>
                  <w:pPr>
                    <w:adjustRightInd w:val="0"/>
                    <w:snapToGrid w:val="0"/>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Merge w:val="continue"/>
                  <w:vAlign w:val="center"/>
                </w:tcPr>
                <w:p>
                  <w:pPr>
                    <w:adjustRightInd w:val="0"/>
                    <w:snapToGrid w:val="0"/>
                    <w:spacing w:line="240" w:lineRule="auto"/>
                    <w:jc w:val="center"/>
                    <w:rPr>
                      <w:rFonts w:hint="eastAsia" w:cs="Times New Roman"/>
                      <w:b/>
                      <w:bCs/>
                      <w:color w:val="auto"/>
                      <w:sz w:val="21"/>
                      <w:szCs w:val="21"/>
                      <w:highlight w:val="none"/>
                      <w:vertAlign w:val="baseline"/>
                      <w:lang w:val="en-US" w:eastAsia="zh-CN"/>
                    </w:rPr>
                  </w:pPr>
                </w:p>
              </w:tc>
              <w:tc>
                <w:tcPr>
                  <w:tcW w:w="1464" w:type="dxa"/>
                  <w:vMerge w:val="continue"/>
                  <w:vAlign w:val="center"/>
                </w:tcPr>
                <w:p>
                  <w:pPr>
                    <w:adjustRightInd w:val="0"/>
                    <w:snapToGrid w:val="0"/>
                    <w:spacing w:line="240" w:lineRule="auto"/>
                    <w:jc w:val="center"/>
                    <w:rPr>
                      <w:rFonts w:hint="eastAsia" w:cs="Times New Roman"/>
                      <w:b/>
                      <w:bCs/>
                      <w:color w:val="auto"/>
                      <w:sz w:val="21"/>
                      <w:szCs w:val="21"/>
                      <w:highlight w:val="none"/>
                      <w:vertAlign w:val="baseline"/>
                      <w:lang w:val="en-US" w:eastAsia="zh-CN"/>
                    </w:rPr>
                  </w:pPr>
                </w:p>
              </w:tc>
              <w:tc>
                <w:tcPr>
                  <w:tcW w:w="1421" w:type="dxa"/>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FQ-01</w:t>
                  </w:r>
                </w:p>
              </w:tc>
              <w:tc>
                <w:tcPr>
                  <w:tcW w:w="1332" w:type="dxa"/>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FQ-44</w:t>
                  </w:r>
                </w:p>
              </w:tc>
              <w:tc>
                <w:tcPr>
                  <w:tcW w:w="1735" w:type="dxa"/>
                  <w:vMerge w:val="continue"/>
                  <w:vAlign w:val="center"/>
                </w:tcPr>
                <w:p>
                  <w:pPr>
                    <w:adjustRightInd w:val="0"/>
                    <w:snapToGrid w:val="0"/>
                    <w:spacing w:line="240" w:lineRule="auto"/>
                    <w:jc w:val="center"/>
                    <w:rPr>
                      <w:rFonts w:hint="eastAsia" w:cs="Times New Roman"/>
                      <w:b/>
                      <w:bCs/>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302车间共轨油嘴生产线</w:t>
                  </w:r>
                </w:p>
              </w:tc>
              <w:tc>
                <w:tcPr>
                  <w:tcW w:w="1464"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非甲烷总烃</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1.1814</w:t>
                  </w:r>
                </w:p>
              </w:tc>
              <w:tc>
                <w:tcPr>
                  <w:tcW w:w="1332"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0.7877</w:t>
                  </w:r>
                </w:p>
              </w:tc>
              <w:tc>
                <w:tcPr>
                  <w:tcW w:w="173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1.9691</w:t>
                  </w:r>
                </w:p>
              </w:tc>
            </w:tr>
          </w:tbl>
          <w:p>
            <w:pPr>
              <w:keepNext w:val="0"/>
              <w:keepLines w:val="0"/>
              <w:pageBreakBefore w:val="0"/>
              <w:widowControl w:val="0"/>
              <w:kinsoku/>
              <w:wordWrap/>
              <w:overflowPunct/>
              <w:topLinePunct w:val="0"/>
              <w:bidi w:val="0"/>
              <w:adjustRightInd w:val="0"/>
              <w:snapToGrid w:val="0"/>
              <w:spacing w:line="460" w:lineRule="exact"/>
              <w:ind w:firstLine="470" w:firstLineChars="196"/>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2、本项目水平衡“以新带老”情况说明</w:t>
            </w:r>
          </w:p>
          <w:p>
            <w:pPr>
              <w:keepNext w:val="0"/>
              <w:keepLines w:val="0"/>
              <w:pageBreakBefore w:val="0"/>
              <w:widowControl w:val="0"/>
              <w:kinsoku/>
              <w:wordWrap/>
              <w:overflowPunct/>
              <w:topLinePunct w:val="0"/>
              <w:bidi w:val="0"/>
              <w:adjustRightInd w:val="0"/>
              <w:snapToGrid w:val="0"/>
              <w:spacing w:line="460" w:lineRule="exact"/>
              <w:ind w:firstLine="470" w:firstLineChars="196"/>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本项目新增一套淋浴废水处理设施（过滤+杀菌+超滤），处理部分淋浴废水，处理后回用于生活冲厕，减少自来水用量。淋浴废水处理设施处理量为10t/h，每天运行时间为6h，年工作360天，则处理量为21600t/a，超滤回收率约为95%，则回用水为20520t/a；超滤浓水为1080t/a，接管新城水处理厂。产生废过滤材料0.03t/a、废UF膜组件0.05t/a；</w:t>
            </w:r>
          </w:p>
          <w:p>
            <w:pPr>
              <w:keepNext w:val="0"/>
              <w:keepLines w:val="0"/>
              <w:pageBreakBefore w:val="0"/>
              <w:widowControl w:val="0"/>
              <w:kinsoku/>
              <w:wordWrap/>
              <w:overflowPunct/>
              <w:topLinePunct w:val="0"/>
              <w:bidi w:val="0"/>
              <w:adjustRightInd w:val="0"/>
              <w:snapToGrid w:val="0"/>
              <w:spacing w:line="460" w:lineRule="exact"/>
              <w:ind w:firstLine="470" w:firstLineChars="196"/>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（2）中水冷却塔不再使用新鲜制备软水，减少12819t/a的软水使用，供水由厂内中水回用系统和厂内污水处理站提供。中水冷却塔排水不再进入厂内污水处理站，改为进入厂内中水回用系统处理；</w:t>
            </w:r>
          </w:p>
          <w:p>
            <w:pPr>
              <w:keepNext w:val="0"/>
              <w:keepLines w:val="0"/>
              <w:pageBreakBefore w:val="0"/>
              <w:widowControl w:val="0"/>
              <w:kinsoku/>
              <w:wordWrap/>
              <w:overflowPunct/>
              <w:topLinePunct w:val="0"/>
              <w:bidi w:val="0"/>
              <w:adjustRightInd w:val="0"/>
              <w:snapToGrid w:val="0"/>
              <w:spacing w:line="460" w:lineRule="exact"/>
              <w:ind w:firstLine="470" w:firstLineChars="196"/>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（3）纯水制备系统经制纯率在原环评中评价为50%，制纯率较低，企业在实际运行效率为60~70%，本报告以60%计。则产生的制纯废水（RO浓水、RO反冲洗废水）为12240t/a，均进入厂内中水回用系统处理后回用；</w:t>
            </w:r>
          </w:p>
          <w:p>
            <w:pPr>
              <w:keepNext w:val="0"/>
              <w:keepLines w:val="0"/>
              <w:pageBreakBefore w:val="0"/>
              <w:widowControl w:val="0"/>
              <w:kinsoku/>
              <w:wordWrap/>
              <w:overflowPunct/>
              <w:topLinePunct w:val="0"/>
              <w:bidi w:val="0"/>
              <w:adjustRightInd w:val="0"/>
              <w:snapToGrid w:val="0"/>
              <w:spacing w:line="460" w:lineRule="exact"/>
              <w:ind w:firstLine="470" w:firstLineChars="196"/>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（4）动力系统冷却塔排水20360t/a，由原来的7360t/a接管新城水处理厂、13000t/a经中水回用系统处理回用，改为全部接管新城水处理厂；</w:t>
            </w:r>
          </w:p>
          <w:p>
            <w:pPr>
              <w:keepNext w:val="0"/>
              <w:keepLines w:val="0"/>
              <w:pageBreakBefore w:val="0"/>
              <w:widowControl w:val="0"/>
              <w:kinsoku/>
              <w:wordWrap/>
              <w:overflowPunct/>
              <w:topLinePunct w:val="0"/>
              <w:bidi w:val="0"/>
              <w:adjustRightInd w:val="0"/>
              <w:snapToGrid w:val="0"/>
              <w:spacing w:line="460" w:lineRule="exact"/>
              <w:ind w:firstLine="470" w:firstLineChars="196"/>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（5）空调系统排水200t/a由原直接接管新城水处理厂，改为接入厂内污水处理站处理后回用零排放；</w:t>
            </w:r>
          </w:p>
          <w:p>
            <w:pPr>
              <w:keepNext w:val="0"/>
              <w:keepLines w:val="0"/>
              <w:pageBreakBefore w:val="0"/>
              <w:widowControl w:val="0"/>
              <w:kinsoku/>
              <w:wordWrap/>
              <w:overflowPunct/>
              <w:topLinePunct w:val="0"/>
              <w:bidi w:val="0"/>
              <w:adjustRightInd w:val="0"/>
              <w:snapToGrid w:val="0"/>
              <w:spacing w:line="460" w:lineRule="exact"/>
              <w:ind w:firstLine="470" w:firstLineChars="196"/>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（6）厂内中水回用系统中UF超滤系统废水2850t/a由原来的接管至新城水处理厂，改为进入中水回用系统处理后回用；</w:t>
            </w:r>
          </w:p>
          <w:p>
            <w:pPr>
              <w:adjustRightInd w:val="0"/>
              <w:snapToGrid w:val="0"/>
              <w:spacing w:line="460" w:lineRule="exact"/>
              <w:ind w:firstLine="480" w:firstLineChars="200"/>
              <w:jc w:val="left"/>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（7）厂内中水回用系统中RO膜系统废水10514.4t/a，不再接管至新城水处理厂，改为进入厂内污水处理站。</w:t>
            </w:r>
          </w:p>
          <w:p>
            <w:pPr>
              <w:adjustRightInd w:val="0"/>
              <w:snapToGrid w:val="0"/>
              <w:spacing w:line="460" w:lineRule="exact"/>
              <w:ind w:firstLine="440" w:firstLineChars="200"/>
              <w:jc w:val="left"/>
              <w:rPr>
                <w:rFonts w:hint="eastAsia" w:ascii="Times New Roman" w:hAnsi="Times New Roman" w:cs="Times New Roman"/>
                <w:bCs/>
                <w:color w:val="auto"/>
                <w:spacing w:val="-10"/>
                <w:sz w:val="24"/>
                <w:szCs w:val="21"/>
                <w:highlight w:val="none"/>
                <w:lang w:val="en-US" w:eastAsia="zh-CN"/>
              </w:rPr>
            </w:pPr>
            <w:r>
              <w:rPr>
                <w:rFonts w:hint="eastAsia" w:cs="Times New Roman"/>
                <w:bCs/>
                <w:color w:val="auto"/>
                <w:spacing w:val="-10"/>
                <w:sz w:val="24"/>
                <w:szCs w:val="21"/>
                <w:highlight w:val="none"/>
                <w:lang w:val="en-US" w:eastAsia="zh-CN"/>
              </w:rPr>
              <w:t>新华路厂区</w:t>
            </w:r>
            <w:r>
              <w:rPr>
                <w:rFonts w:hint="eastAsia" w:ascii="Times New Roman" w:hAnsi="Times New Roman" w:cs="Times New Roman"/>
                <w:bCs/>
                <w:color w:val="auto"/>
                <w:spacing w:val="-10"/>
                <w:sz w:val="24"/>
                <w:szCs w:val="21"/>
                <w:highlight w:val="none"/>
                <w:lang w:val="en-US" w:eastAsia="zh-CN"/>
              </w:rPr>
              <w:t>水平衡变更情况如下表：</w:t>
            </w:r>
          </w:p>
          <w:p>
            <w:pPr>
              <w:adjustRightInd w:val="0"/>
              <w:snapToGrid w:val="0"/>
              <w:spacing w:line="460" w:lineRule="exact"/>
              <w:jc w:val="center"/>
              <w:rPr>
                <w:rFonts w:hint="default"/>
                <w:lang w:val="en-US" w:eastAsia="zh-CN"/>
              </w:rPr>
            </w:pPr>
            <w:r>
              <w:rPr>
                <w:rFonts w:hint="default" w:ascii="Times New Roman" w:hAnsi="Times New Roman" w:eastAsia="宋体" w:cs="Times New Roman"/>
                <w:b/>
                <w:bCs/>
                <w:color w:val="auto"/>
                <w:spacing w:val="-10"/>
                <w:sz w:val="24"/>
                <w:szCs w:val="21"/>
                <w:highlight w:val="none"/>
              </w:rPr>
              <w:t>表</w:t>
            </w:r>
            <w:r>
              <w:rPr>
                <w:rFonts w:hint="eastAsia" w:ascii="Times New Roman" w:hAnsi="Times New Roman" w:cs="Times New Roman"/>
                <w:b/>
                <w:bCs/>
                <w:color w:val="auto"/>
                <w:spacing w:val="-10"/>
                <w:sz w:val="24"/>
                <w:szCs w:val="21"/>
                <w:highlight w:val="none"/>
                <w:lang w:val="en-US" w:eastAsia="zh-CN"/>
              </w:rPr>
              <w:t>2-1</w:t>
            </w:r>
            <w:r>
              <w:rPr>
                <w:rFonts w:hint="eastAsia" w:cs="Times New Roman"/>
                <w:b/>
                <w:bCs/>
                <w:color w:val="auto"/>
                <w:spacing w:val="-10"/>
                <w:sz w:val="24"/>
                <w:szCs w:val="21"/>
                <w:highlight w:val="none"/>
                <w:lang w:val="en-US" w:eastAsia="zh-CN"/>
              </w:rPr>
              <w:t>8</w:t>
            </w:r>
            <w:r>
              <w:rPr>
                <w:rFonts w:hint="eastAsia" w:ascii="Times New Roman" w:hAnsi="Times New Roman" w:cs="Times New Roman"/>
                <w:b/>
                <w:bCs/>
                <w:color w:val="auto"/>
                <w:spacing w:val="-10"/>
                <w:sz w:val="24"/>
                <w:szCs w:val="21"/>
                <w:highlight w:val="none"/>
                <w:lang w:val="en-US" w:eastAsia="zh-CN"/>
              </w:rPr>
              <w:t xml:space="preserve">  </w:t>
            </w:r>
            <w:r>
              <w:rPr>
                <w:rFonts w:hint="default" w:ascii="Times New Roman" w:hAnsi="Times New Roman" w:eastAsia="宋体" w:cs="Times New Roman"/>
                <w:b/>
                <w:bCs/>
                <w:color w:val="auto"/>
                <w:spacing w:val="-10"/>
                <w:sz w:val="24"/>
                <w:szCs w:val="21"/>
                <w:highlight w:val="none"/>
              </w:rPr>
              <w:t xml:space="preserve"> </w:t>
            </w:r>
            <w:r>
              <w:rPr>
                <w:rFonts w:hint="eastAsia" w:cs="Times New Roman"/>
                <w:b/>
                <w:bCs/>
                <w:color w:val="auto"/>
                <w:spacing w:val="-10"/>
                <w:sz w:val="24"/>
                <w:szCs w:val="21"/>
                <w:highlight w:val="none"/>
                <w:lang w:val="en-US" w:eastAsia="zh-CN"/>
              </w:rPr>
              <w:t>新华路厂区</w:t>
            </w:r>
            <w:r>
              <w:rPr>
                <w:rFonts w:hint="default" w:ascii="Times New Roman" w:hAnsi="Times New Roman" w:eastAsia="宋体" w:cs="Times New Roman"/>
                <w:b/>
                <w:bCs/>
                <w:color w:val="auto"/>
                <w:spacing w:val="-10"/>
                <w:sz w:val="24"/>
                <w:szCs w:val="21"/>
                <w:highlight w:val="none"/>
              </w:rPr>
              <w:t>废水污染物</w:t>
            </w:r>
            <w:r>
              <w:rPr>
                <w:rFonts w:hint="eastAsia" w:ascii="Times New Roman" w:hAnsi="Times New Roman" w:cs="Times New Roman"/>
                <w:b/>
                <w:bCs/>
                <w:color w:val="auto"/>
                <w:spacing w:val="-10"/>
                <w:sz w:val="24"/>
                <w:szCs w:val="21"/>
                <w:highlight w:val="none"/>
                <w:lang w:val="en-US" w:eastAsia="zh-CN"/>
              </w:rPr>
              <w:t>去向变更情况</w:t>
            </w:r>
            <w:r>
              <w:rPr>
                <w:rFonts w:hint="default" w:ascii="Times New Roman" w:hAnsi="Times New Roman" w:eastAsia="宋体" w:cs="Times New Roman"/>
                <w:b/>
                <w:bCs/>
                <w:color w:val="auto"/>
                <w:spacing w:val="-10"/>
                <w:sz w:val="24"/>
                <w:szCs w:val="21"/>
                <w:highlight w:val="none"/>
              </w:rPr>
              <w:t>表</w:t>
            </w:r>
          </w:p>
          <w:tbl>
            <w:tblPr>
              <w:tblStyle w:val="22"/>
              <w:tblW w:w="4993"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060"/>
              <w:gridCol w:w="706"/>
              <w:gridCol w:w="2776"/>
              <w:gridCol w:w="1900"/>
              <w:gridCol w:w="1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 w:type="pct"/>
                  <w:vAlign w:val="center"/>
                </w:tcPr>
                <w:p>
                  <w:pPr>
                    <w:pStyle w:val="3"/>
                    <w:numPr>
                      <w:ilvl w:val="0"/>
                      <w:numId w:val="0"/>
                    </w:numPr>
                    <w:jc w:val="center"/>
                    <w:rPr>
                      <w:rFonts w:hint="default"/>
                      <w:b/>
                      <w:bCs/>
                      <w:vertAlign w:val="baseline"/>
                      <w:lang w:val="en-US" w:eastAsia="zh-CN"/>
                    </w:rPr>
                  </w:pPr>
                  <w:r>
                    <w:rPr>
                      <w:rFonts w:hint="eastAsia"/>
                      <w:b/>
                      <w:bCs/>
                      <w:vertAlign w:val="baseline"/>
                      <w:lang w:val="en-US" w:eastAsia="zh-CN"/>
                    </w:rPr>
                    <w:t>序号</w:t>
                  </w:r>
                </w:p>
              </w:tc>
              <w:tc>
                <w:tcPr>
                  <w:tcW w:w="1025" w:type="pct"/>
                  <w:gridSpan w:val="2"/>
                  <w:vAlign w:val="center"/>
                </w:tcPr>
                <w:p>
                  <w:pPr>
                    <w:pStyle w:val="3"/>
                    <w:numPr>
                      <w:ilvl w:val="0"/>
                      <w:numId w:val="0"/>
                    </w:numPr>
                    <w:jc w:val="center"/>
                    <w:rPr>
                      <w:rFonts w:hint="eastAsia"/>
                      <w:b/>
                      <w:bCs/>
                      <w:vertAlign w:val="baseline"/>
                      <w:lang w:val="en-US" w:eastAsia="zh-CN"/>
                    </w:rPr>
                  </w:pPr>
                  <w:r>
                    <w:rPr>
                      <w:rFonts w:hint="eastAsia"/>
                      <w:b/>
                      <w:bCs/>
                      <w:vertAlign w:val="baseline"/>
                      <w:lang w:val="en-US" w:eastAsia="zh-CN"/>
                    </w:rPr>
                    <w:t>项目</w:t>
                  </w:r>
                </w:p>
              </w:tc>
              <w:tc>
                <w:tcPr>
                  <w:tcW w:w="1611" w:type="pct"/>
                  <w:vAlign w:val="center"/>
                </w:tcPr>
                <w:p>
                  <w:pPr>
                    <w:pStyle w:val="3"/>
                    <w:numPr>
                      <w:ilvl w:val="0"/>
                      <w:numId w:val="0"/>
                    </w:numPr>
                    <w:jc w:val="center"/>
                    <w:rPr>
                      <w:rFonts w:hint="default"/>
                      <w:b/>
                      <w:bCs/>
                      <w:vertAlign w:val="baseline"/>
                      <w:lang w:val="en-US" w:eastAsia="zh-CN"/>
                    </w:rPr>
                  </w:pPr>
                  <w:r>
                    <w:rPr>
                      <w:rFonts w:hint="eastAsia"/>
                      <w:b/>
                      <w:bCs/>
                      <w:vertAlign w:val="baseline"/>
                      <w:lang w:val="en-US" w:eastAsia="zh-CN"/>
                    </w:rPr>
                    <w:t>变更前情况</w:t>
                  </w:r>
                </w:p>
              </w:tc>
              <w:tc>
                <w:tcPr>
                  <w:tcW w:w="1103" w:type="pct"/>
                  <w:vAlign w:val="center"/>
                </w:tcPr>
                <w:p>
                  <w:pPr>
                    <w:pStyle w:val="3"/>
                    <w:numPr>
                      <w:ilvl w:val="0"/>
                      <w:numId w:val="0"/>
                    </w:numPr>
                    <w:jc w:val="center"/>
                    <w:rPr>
                      <w:rFonts w:hint="default"/>
                      <w:b/>
                      <w:bCs/>
                      <w:vertAlign w:val="baseline"/>
                      <w:lang w:val="en-US" w:eastAsia="zh-CN"/>
                    </w:rPr>
                  </w:pPr>
                  <w:r>
                    <w:rPr>
                      <w:rFonts w:hint="eastAsia"/>
                      <w:b/>
                      <w:bCs/>
                      <w:vertAlign w:val="baseline"/>
                      <w:lang w:val="en-US" w:eastAsia="zh-CN"/>
                    </w:rPr>
                    <w:t>变更后情况</w:t>
                  </w:r>
                </w:p>
              </w:tc>
              <w:tc>
                <w:tcPr>
                  <w:tcW w:w="960" w:type="pct"/>
                  <w:vAlign w:val="center"/>
                </w:tcPr>
                <w:p>
                  <w:pPr>
                    <w:pStyle w:val="3"/>
                    <w:numPr>
                      <w:ilvl w:val="0"/>
                      <w:numId w:val="0"/>
                    </w:numPr>
                    <w:jc w:val="center"/>
                    <w:rPr>
                      <w:rFonts w:hint="default"/>
                      <w:b/>
                      <w:bCs/>
                      <w:vertAlign w:val="baseline"/>
                      <w:lang w:val="en-US" w:eastAsia="zh-CN"/>
                    </w:rPr>
                  </w:pPr>
                  <w:r>
                    <w:rPr>
                      <w:rFonts w:hint="eastAsia"/>
                      <w:b/>
                      <w:bCs/>
                      <w:vertAlign w:val="baseline"/>
                      <w:lang w:val="en-US" w:eastAsia="zh-CN"/>
                    </w:rPr>
                    <w:t>涉及废水接管排放量的增减情况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 w:type="pct"/>
                  <w:vAlign w:val="center"/>
                </w:tcPr>
                <w:p>
                  <w:pPr>
                    <w:pStyle w:val="3"/>
                    <w:numPr>
                      <w:ilvl w:val="0"/>
                      <w:numId w:val="0"/>
                    </w:numPr>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c>
                <w:tcPr>
                  <w:tcW w:w="615" w:type="pct"/>
                  <w:vMerge w:val="restar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生活用水（新增淋浴废水处理回用设施）</w:t>
                  </w:r>
                </w:p>
              </w:tc>
              <w:tc>
                <w:tcPr>
                  <w:tcW w:w="41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用水</w:t>
                  </w:r>
                </w:p>
              </w:tc>
              <w:tc>
                <w:tcPr>
                  <w:tcW w:w="1611"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全部使用新鲜自来水</w:t>
                  </w:r>
                </w:p>
              </w:tc>
              <w:tc>
                <w:tcPr>
                  <w:tcW w:w="1103"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部分淋浴废水处理后回用于冲厕</w:t>
                  </w:r>
                </w:p>
              </w:tc>
              <w:tc>
                <w:tcPr>
                  <w:tcW w:w="96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淋浴废水处理回用后，减少新鲜自来水用量20520t/a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 w:type="pct"/>
                  <w:vAlign w:val="center"/>
                </w:tcPr>
                <w:p>
                  <w:pPr>
                    <w:pStyle w:val="3"/>
                    <w:numPr>
                      <w:ilvl w:val="0"/>
                      <w:numId w:val="0"/>
                    </w:numPr>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2</w:t>
                  </w:r>
                </w:p>
              </w:tc>
              <w:tc>
                <w:tcPr>
                  <w:tcW w:w="615" w:type="pct"/>
                  <w:vMerge w:val="continue"/>
                  <w:vAlign w:val="center"/>
                </w:tcPr>
                <w:p>
                  <w:pPr>
                    <w:pStyle w:val="3"/>
                    <w:numPr>
                      <w:ilvl w:val="0"/>
                      <w:numId w:val="0"/>
                    </w:numPr>
                    <w:jc w:val="center"/>
                    <w:rPr>
                      <w:rFonts w:hint="default"/>
                      <w:vertAlign w:val="baseline"/>
                      <w:lang w:val="en-US" w:eastAsia="zh-CN"/>
                    </w:rPr>
                  </w:pPr>
                </w:p>
              </w:tc>
              <w:tc>
                <w:tcPr>
                  <w:tcW w:w="41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排水</w:t>
                  </w:r>
                </w:p>
              </w:tc>
              <w:tc>
                <w:tcPr>
                  <w:tcW w:w="1611"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全部接管新城水处理厂</w:t>
                  </w:r>
                </w:p>
              </w:tc>
              <w:tc>
                <w:tcPr>
                  <w:tcW w:w="1103"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部分淋浴废水处理后回用于冲厕，其他接管新城水处理厂；淋浴废水处理系统新增产生超滤浓水</w:t>
                  </w:r>
                </w:p>
              </w:tc>
              <w:tc>
                <w:tcPr>
                  <w:tcW w:w="96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减少21600t/a生活污水排放；新增淋浴废水处理系统1080t/a超滤浓水排放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8" w:type="pct"/>
                  <w:vAlign w:val="center"/>
                </w:tcPr>
                <w:p>
                  <w:pPr>
                    <w:pStyle w:val="3"/>
                    <w:numPr>
                      <w:ilvl w:val="0"/>
                      <w:numId w:val="0"/>
                    </w:numPr>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3</w:t>
                  </w:r>
                </w:p>
              </w:tc>
              <w:tc>
                <w:tcPr>
                  <w:tcW w:w="615"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制软水系统</w:t>
                  </w:r>
                </w:p>
              </w:tc>
              <w:tc>
                <w:tcPr>
                  <w:tcW w:w="410" w:type="pct"/>
                  <w:vAlign w:val="center"/>
                </w:tcPr>
                <w:p>
                  <w:pPr>
                    <w:pStyle w:val="3"/>
                    <w:numPr>
                      <w:ilvl w:val="0"/>
                      <w:numId w:val="0"/>
                    </w:numPr>
                    <w:jc w:val="center"/>
                    <w:rPr>
                      <w:rFonts w:hint="eastAsia"/>
                      <w:vertAlign w:val="baseline"/>
                      <w:lang w:val="en-US" w:eastAsia="zh-CN"/>
                    </w:rPr>
                  </w:pPr>
                  <w:r>
                    <w:rPr>
                      <w:rFonts w:hint="eastAsia"/>
                      <w:vertAlign w:val="baseline"/>
                      <w:lang w:val="en-US" w:eastAsia="zh-CN"/>
                    </w:rPr>
                    <w:t>排水</w:t>
                  </w:r>
                </w:p>
              </w:tc>
              <w:tc>
                <w:tcPr>
                  <w:tcW w:w="1611"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进入中水回用系统</w:t>
                  </w:r>
                </w:p>
              </w:tc>
              <w:tc>
                <w:tcPr>
                  <w:tcW w:w="1103"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接管新城水处理厂</w:t>
                  </w:r>
                </w:p>
              </w:tc>
              <w:tc>
                <w:tcPr>
                  <w:tcW w:w="96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新增6464.5t/a制软水废水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 w:type="pct"/>
                  <w:vAlign w:val="center"/>
                </w:tcPr>
                <w:p>
                  <w:pPr>
                    <w:pStyle w:val="3"/>
                    <w:numPr>
                      <w:ilvl w:val="0"/>
                      <w:numId w:val="0"/>
                    </w:numPr>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4</w:t>
                  </w:r>
                </w:p>
              </w:tc>
              <w:tc>
                <w:tcPr>
                  <w:tcW w:w="615"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制纯系统</w:t>
                  </w:r>
                </w:p>
              </w:tc>
              <w:tc>
                <w:tcPr>
                  <w:tcW w:w="41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排水</w:t>
                  </w:r>
                </w:p>
              </w:tc>
              <w:tc>
                <w:tcPr>
                  <w:tcW w:w="1611"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部分进入中水回用系统，部分接管新城水处理厂</w:t>
                  </w:r>
                </w:p>
              </w:tc>
              <w:tc>
                <w:tcPr>
                  <w:tcW w:w="1103"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全部进入中水回用系统</w:t>
                  </w:r>
                </w:p>
              </w:tc>
              <w:tc>
                <w:tcPr>
                  <w:tcW w:w="96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减少7818.5t/a制纯废水排放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 w:type="pct"/>
                  <w:vMerge w:val="restar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5</w:t>
                  </w:r>
                </w:p>
              </w:tc>
              <w:tc>
                <w:tcPr>
                  <w:tcW w:w="615" w:type="pct"/>
                  <w:vMerge w:val="restar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中水冷却塔</w:t>
                  </w:r>
                </w:p>
              </w:tc>
              <w:tc>
                <w:tcPr>
                  <w:tcW w:w="41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供水</w:t>
                  </w:r>
                </w:p>
              </w:tc>
              <w:tc>
                <w:tcPr>
                  <w:tcW w:w="1611"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由软水制备系统和污水处理站提供</w:t>
                  </w:r>
                </w:p>
              </w:tc>
              <w:tc>
                <w:tcPr>
                  <w:tcW w:w="1103"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由污水处理站和中水回用系统提供</w:t>
                  </w:r>
                </w:p>
              </w:tc>
              <w:tc>
                <w:tcPr>
                  <w:tcW w:w="96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 w:type="pct"/>
                  <w:vMerge w:val="continue"/>
                  <w:vAlign w:val="center"/>
                </w:tcPr>
                <w:p>
                  <w:pPr>
                    <w:pStyle w:val="3"/>
                    <w:numPr>
                      <w:ilvl w:val="0"/>
                      <w:numId w:val="0"/>
                    </w:numPr>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p>
              </w:tc>
              <w:tc>
                <w:tcPr>
                  <w:tcW w:w="615" w:type="pct"/>
                  <w:vMerge w:val="continue"/>
                  <w:vAlign w:val="center"/>
                </w:tcPr>
                <w:p>
                  <w:pPr>
                    <w:pStyle w:val="3"/>
                    <w:numPr>
                      <w:ilvl w:val="0"/>
                      <w:numId w:val="0"/>
                    </w:numPr>
                    <w:jc w:val="center"/>
                    <w:rPr>
                      <w:rFonts w:hint="eastAsia"/>
                      <w:vertAlign w:val="baseline"/>
                      <w:lang w:val="en-US" w:eastAsia="zh-CN"/>
                    </w:rPr>
                  </w:pPr>
                </w:p>
              </w:tc>
              <w:tc>
                <w:tcPr>
                  <w:tcW w:w="41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排水</w:t>
                  </w:r>
                </w:p>
              </w:tc>
              <w:tc>
                <w:tcPr>
                  <w:tcW w:w="1611" w:type="pct"/>
                  <w:vAlign w:val="center"/>
                </w:tcPr>
                <w:p>
                  <w:pPr>
                    <w:pStyle w:val="3"/>
                    <w:numPr>
                      <w:ilvl w:val="0"/>
                      <w:numId w:val="0"/>
                    </w:numPr>
                    <w:jc w:val="center"/>
                    <w:rPr>
                      <w:rFonts w:hint="eastAsia"/>
                      <w:vertAlign w:val="baseline"/>
                      <w:lang w:val="en-US" w:eastAsia="zh-CN"/>
                    </w:rPr>
                  </w:pPr>
                  <w:r>
                    <w:rPr>
                      <w:rFonts w:hint="eastAsia"/>
                      <w:vertAlign w:val="baseline"/>
                      <w:lang w:val="en-US" w:eastAsia="zh-CN"/>
                    </w:rPr>
                    <w:t>进入污水处理站</w:t>
                  </w:r>
                </w:p>
              </w:tc>
              <w:tc>
                <w:tcPr>
                  <w:tcW w:w="1103" w:type="pct"/>
                  <w:vAlign w:val="center"/>
                </w:tcPr>
                <w:p>
                  <w:pPr>
                    <w:pStyle w:val="3"/>
                    <w:numPr>
                      <w:ilvl w:val="0"/>
                      <w:numId w:val="0"/>
                    </w:numPr>
                    <w:jc w:val="center"/>
                    <w:rPr>
                      <w:rFonts w:hint="eastAsia"/>
                      <w:vertAlign w:val="baseline"/>
                      <w:lang w:val="en-US" w:eastAsia="zh-CN"/>
                    </w:rPr>
                  </w:pPr>
                  <w:r>
                    <w:rPr>
                      <w:rFonts w:hint="eastAsia"/>
                      <w:vertAlign w:val="baseline"/>
                      <w:lang w:val="en-US" w:eastAsia="zh-CN"/>
                    </w:rPr>
                    <w:t>进入中水回用系统</w:t>
                  </w:r>
                </w:p>
              </w:tc>
              <w:tc>
                <w:tcPr>
                  <w:tcW w:w="96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 w:type="pct"/>
                  <w:vMerge w:val="restar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6</w:t>
                  </w:r>
                </w:p>
              </w:tc>
              <w:tc>
                <w:tcPr>
                  <w:tcW w:w="615" w:type="pct"/>
                  <w:vMerge w:val="restar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动力系统冷却塔</w:t>
                  </w:r>
                </w:p>
              </w:tc>
              <w:tc>
                <w:tcPr>
                  <w:tcW w:w="41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供水</w:t>
                  </w:r>
                </w:p>
              </w:tc>
              <w:tc>
                <w:tcPr>
                  <w:tcW w:w="1611"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由制软水系统、中水回用系统、生活用汽空调机组提供</w:t>
                  </w:r>
                </w:p>
              </w:tc>
              <w:tc>
                <w:tcPr>
                  <w:tcW w:w="1103"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由制软水系统和生活用汽空调机组</w:t>
                  </w:r>
                </w:p>
              </w:tc>
              <w:tc>
                <w:tcPr>
                  <w:tcW w:w="96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 w:type="pct"/>
                  <w:vMerge w:val="continue"/>
                  <w:vAlign w:val="center"/>
                </w:tcPr>
                <w:p>
                  <w:pPr>
                    <w:pStyle w:val="3"/>
                    <w:numPr>
                      <w:ilvl w:val="0"/>
                      <w:numId w:val="0"/>
                    </w:numPr>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p>
              </w:tc>
              <w:tc>
                <w:tcPr>
                  <w:tcW w:w="615" w:type="pct"/>
                  <w:vMerge w:val="continue"/>
                  <w:vAlign w:val="center"/>
                </w:tcPr>
                <w:p>
                  <w:pPr>
                    <w:pStyle w:val="3"/>
                    <w:numPr>
                      <w:ilvl w:val="0"/>
                      <w:numId w:val="0"/>
                    </w:numPr>
                    <w:jc w:val="center"/>
                    <w:rPr>
                      <w:rFonts w:hint="default"/>
                      <w:vertAlign w:val="baseline"/>
                      <w:lang w:val="en-US" w:eastAsia="zh-CN"/>
                    </w:rPr>
                  </w:pPr>
                </w:p>
              </w:tc>
              <w:tc>
                <w:tcPr>
                  <w:tcW w:w="41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排水</w:t>
                  </w:r>
                </w:p>
              </w:tc>
              <w:tc>
                <w:tcPr>
                  <w:tcW w:w="1611"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部分进入中水回用系统，部分接管新城水处理厂</w:t>
                  </w:r>
                </w:p>
              </w:tc>
              <w:tc>
                <w:tcPr>
                  <w:tcW w:w="1103"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全部接管新城水处理厂</w:t>
                  </w:r>
                </w:p>
              </w:tc>
              <w:tc>
                <w:tcPr>
                  <w:tcW w:w="96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新增13000t/a冷却塔废水排放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 w:type="pct"/>
                  <w:vAlign w:val="center"/>
                </w:tcPr>
                <w:p>
                  <w:pPr>
                    <w:pStyle w:val="3"/>
                    <w:numPr>
                      <w:ilvl w:val="0"/>
                      <w:numId w:val="0"/>
                    </w:numPr>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7</w:t>
                  </w:r>
                </w:p>
              </w:tc>
              <w:tc>
                <w:tcPr>
                  <w:tcW w:w="615"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空调系统</w:t>
                  </w:r>
                </w:p>
              </w:tc>
              <w:tc>
                <w:tcPr>
                  <w:tcW w:w="41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排水</w:t>
                  </w:r>
                </w:p>
              </w:tc>
              <w:tc>
                <w:tcPr>
                  <w:tcW w:w="1611"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接管新城水处理厂</w:t>
                  </w:r>
                </w:p>
              </w:tc>
              <w:tc>
                <w:tcPr>
                  <w:tcW w:w="1103"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进入污水处理站</w:t>
                  </w:r>
                </w:p>
              </w:tc>
              <w:tc>
                <w:tcPr>
                  <w:tcW w:w="96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减少200t/a空调系统废水排放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 w:type="pct"/>
                  <w:vMerge w:val="restar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8</w:t>
                  </w:r>
                </w:p>
              </w:tc>
              <w:tc>
                <w:tcPr>
                  <w:tcW w:w="615" w:type="pct"/>
                  <w:vMerge w:val="restart"/>
                  <w:vAlign w:val="center"/>
                </w:tcPr>
                <w:p>
                  <w:pPr>
                    <w:pStyle w:val="3"/>
                    <w:numPr>
                      <w:ilvl w:val="0"/>
                      <w:numId w:val="0"/>
                    </w:numPr>
                    <w:jc w:val="center"/>
                    <w:rPr>
                      <w:rFonts w:hint="eastAsia"/>
                      <w:vertAlign w:val="baseline"/>
                      <w:lang w:val="en-US" w:eastAsia="zh-CN"/>
                    </w:rPr>
                  </w:pPr>
                  <w:r>
                    <w:rPr>
                      <w:rFonts w:hint="eastAsia"/>
                      <w:vertAlign w:val="baseline"/>
                      <w:lang w:val="en-US" w:eastAsia="zh-CN"/>
                    </w:rPr>
                    <w:t>中水回用</w:t>
                  </w:r>
                </w:p>
                <w:p>
                  <w:pPr>
                    <w:pStyle w:val="3"/>
                    <w:numPr>
                      <w:ilvl w:val="0"/>
                      <w:numId w:val="0"/>
                    </w:numPr>
                    <w:jc w:val="center"/>
                    <w:rPr>
                      <w:rFonts w:hint="default"/>
                      <w:vertAlign w:val="baseline"/>
                      <w:lang w:val="en-US" w:eastAsia="zh-CN"/>
                    </w:rPr>
                  </w:pPr>
                  <w:r>
                    <w:rPr>
                      <w:rFonts w:hint="eastAsia"/>
                      <w:vertAlign w:val="baseline"/>
                      <w:lang w:val="en-US" w:eastAsia="zh-CN"/>
                    </w:rPr>
                    <w:t>系统</w:t>
                  </w:r>
                </w:p>
              </w:tc>
              <w:tc>
                <w:tcPr>
                  <w:tcW w:w="41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供水</w:t>
                  </w:r>
                </w:p>
              </w:tc>
              <w:tc>
                <w:tcPr>
                  <w:tcW w:w="1611"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由制纯系统、制软水系统、动力系统冷却塔提供</w:t>
                  </w:r>
                </w:p>
              </w:tc>
              <w:tc>
                <w:tcPr>
                  <w:tcW w:w="1103"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制纯系统和UF超滤系统提供</w:t>
                  </w:r>
                </w:p>
              </w:tc>
              <w:tc>
                <w:tcPr>
                  <w:tcW w:w="96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 w:type="pct"/>
                  <w:vMerge w:val="continue"/>
                  <w:vAlign w:val="center"/>
                </w:tcPr>
                <w:p>
                  <w:pPr>
                    <w:pStyle w:val="3"/>
                    <w:numPr>
                      <w:ilvl w:val="0"/>
                      <w:numId w:val="0"/>
                    </w:numPr>
                    <w:jc w:val="center"/>
                    <w:rPr>
                      <w:rFonts w:hint="eastAsia"/>
                      <w:vertAlign w:val="baseline"/>
                      <w:lang w:val="en-US" w:eastAsia="zh-CN"/>
                    </w:rPr>
                  </w:pPr>
                </w:p>
              </w:tc>
              <w:tc>
                <w:tcPr>
                  <w:tcW w:w="615" w:type="pct"/>
                  <w:vMerge w:val="continue"/>
                  <w:vAlign w:val="center"/>
                </w:tcPr>
                <w:p>
                  <w:pPr>
                    <w:pStyle w:val="3"/>
                    <w:numPr>
                      <w:ilvl w:val="0"/>
                      <w:numId w:val="0"/>
                    </w:numPr>
                    <w:jc w:val="center"/>
                    <w:rPr>
                      <w:rFonts w:hint="eastAsia"/>
                      <w:vertAlign w:val="baseline"/>
                      <w:lang w:val="en-US" w:eastAsia="zh-CN"/>
                    </w:rPr>
                  </w:pPr>
                </w:p>
              </w:tc>
              <w:tc>
                <w:tcPr>
                  <w:tcW w:w="410" w:type="pct"/>
                  <w:vMerge w:val="restar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排水</w:t>
                  </w:r>
                </w:p>
              </w:tc>
              <w:tc>
                <w:tcPr>
                  <w:tcW w:w="1611"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UF超滤系统、RO膜系统废水管新城水处理厂</w:t>
                  </w:r>
                </w:p>
              </w:tc>
              <w:tc>
                <w:tcPr>
                  <w:tcW w:w="1103"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UF超滤系统废水回用至中水回用系统、RO膜系统废水进入污水处理站</w:t>
                  </w:r>
                </w:p>
              </w:tc>
              <w:tc>
                <w:tcPr>
                  <w:tcW w:w="96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减少13364.4t/a废水排放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 w:type="pct"/>
                  <w:vMerge w:val="continue"/>
                  <w:vAlign w:val="center"/>
                </w:tcPr>
                <w:p>
                  <w:pPr>
                    <w:pStyle w:val="3"/>
                    <w:numPr>
                      <w:ilvl w:val="0"/>
                      <w:numId w:val="0"/>
                    </w:numPr>
                    <w:jc w:val="center"/>
                    <w:rPr>
                      <w:rFonts w:hint="eastAsia"/>
                      <w:vertAlign w:val="baseline"/>
                      <w:lang w:val="en-US" w:eastAsia="zh-CN"/>
                    </w:rPr>
                  </w:pPr>
                </w:p>
              </w:tc>
              <w:tc>
                <w:tcPr>
                  <w:tcW w:w="615" w:type="pct"/>
                  <w:vMerge w:val="continue"/>
                  <w:vAlign w:val="center"/>
                </w:tcPr>
                <w:p>
                  <w:pPr>
                    <w:pStyle w:val="3"/>
                    <w:numPr>
                      <w:ilvl w:val="0"/>
                      <w:numId w:val="0"/>
                    </w:numPr>
                    <w:jc w:val="center"/>
                    <w:rPr>
                      <w:rFonts w:hint="eastAsia"/>
                      <w:vertAlign w:val="baseline"/>
                      <w:lang w:val="en-US" w:eastAsia="zh-CN"/>
                    </w:rPr>
                  </w:pPr>
                </w:p>
              </w:tc>
              <w:tc>
                <w:tcPr>
                  <w:tcW w:w="410" w:type="pct"/>
                  <w:vMerge w:val="continue"/>
                  <w:vAlign w:val="center"/>
                </w:tcPr>
                <w:p>
                  <w:pPr>
                    <w:pStyle w:val="3"/>
                    <w:numPr>
                      <w:ilvl w:val="0"/>
                      <w:numId w:val="0"/>
                    </w:numPr>
                    <w:jc w:val="center"/>
                    <w:rPr>
                      <w:rFonts w:hint="default"/>
                      <w:vertAlign w:val="baseline"/>
                      <w:lang w:val="en-US" w:eastAsia="zh-CN"/>
                    </w:rPr>
                  </w:pPr>
                </w:p>
              </w:tc>
              <w:tc>
                <w:tcPr>
                  <w:tcW w:w="1611"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清水回用于动力系统冷却塔</w:t>
                  </w:r>
                </w:p>
              </w:tc>
              <w:tc>
                <w:tcPr>
                  <w:tcW w:w="1103"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清水回用于中水冷却塔</w:t>
                  </w:r>
                </w:p>
              </w:tc>
              <w:tc>
                <w:tcPr>
                  <w:tcW w:w="960" w:type="pct"/>
                  <w:vAlign w:val="center"/>
                </w:tcPr>
                <w:p>
                  <w:pPr>
                    <w:pStyle w:val="3"/>
                    <w:numPr>
                      <w:ilvl w:val="0"/>
                      <w:numId w:val="0"/>
                    </w:numPr>
                    <w:jc w:val="center"/>
                    <w:rPr>
                      <w:rFonts w:hint="default"/>
                      <w:vertAlign w:val="baseline"/>
                      <w:lang w:val="en-US" w:eastAsia="zh-CN"/>
                    </w:rPr>
                  </w:pPr>
                  <w:r>
                    <w:rPr>
                      <w:rFonts w:hint="eastAsia"/>
                      <w:vertAlign w:val="baseline"/>
                      <w:lang w:val="en-US" w:eastAsia="zh-CN"/>
                    </w:rPr>
                    <w:t>/</w:t>
                  </w:r>
                </w:p>
              </w:tc>
            </w:tr>
          </w:tbl>
          <w:p>
            <w:pPr>
              <w:keepNext w:val="0"/>
              <w:keepLines w:val="0"/>
              <w:pageBreakBefore w:val="0"/>
              <w:widowControl w:val="0"/>
              <w:kinsoku/>
              <w:wordWrap/>
              <w:overflowPunct/>
              <w:topLinePunct w:val="0"/>
              <w:bidi w:val="0"/>
              <w:adjustRightInd w:val="0"/>
              <w:snapToGrid w:val="0"/>
              <w:spacing w:line="460" w:lineRule="exact"/>
              <w:ind w:firstLine="470" w:firstLineChars="196"/>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本项目“以新带老”后，新华路厂区水平衡图如下：</w:t>
            </w:r>
          </w:p>
        </w:tc>
      </w:tr>
    </w:tbl>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rPr>
        <w:sectPr>
          <w:pgSz w:w="11907" w:h="16840"/>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20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20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0" w:hRule="atLeast"/>
          <w:jc w:val="center"/>
        </w:trPr>
        <w:tc>
          <w:tcPr>
            <w:tcW w:w="533" w:type="dxa"/>
          </w:tcPr>
          <w:p>
            <w:pPr>
              <w:pStyle w:val="18"/>
              <w:jc w:val="both"/>
              <w:rPr>
                <w:rFonts w:hint="eastAsia" w:ascii="Times New Roman" w:hAnsi="Times New Roman" w:eastAsia="宋体" w:cs="Times New Roman"/>
                <w:snapToGrid w:val="0"/>
                <w:color w:val="auto"/>
                <w:sz w:val="36"/>
                <w:szCs w:val="36"/>
                <w:highlight w:val="none"/>
                <w:vertAlign w:val="baseline"/>
                <w:lang w:val="en-US" w:eastAsia="zh-CN"/>
              </w:rPr>
            </w:pPr>
            <w:r>
              <w:rPr>
                <w:rFonts w:hint="eastAsia" w:ascii="Times New Roman" w:hAnsi="Times New Roman" w:eastAsia="宋体" w:cs="Times New Roman"/>
                <w:snapToGrid w:val="0"/>
                <w:color w:val="auto"/>
                <w:kern w:val="0"/>
                <w:sz w:val="24"/>
                <w:szCs w:val="24"/>
                <w:highlight w:val="none"/>
                <w:lang w:val="en-US" w:eastAsia="zh-CN" w:bidi="ar-SA"/>
              </w:rPr>
              <w:t>续上表</w:t>
            </w:r>
          </w:p>
        </w:tc>
        <w:tc>
          <w:tcPr>
            <w:tcW w:w="20388" w:type="dxa"/>
          </w:tcPr>
          <w:p>
            <w:pPr>
              <w:pStyle w:val="18"/>
              <w:jc w:val="both"/>
              <w:rPr>
                <w:rFonts w:hint="default" w:ascii="Times New Roman" w:hAnsi="Times New Roman" w:eastAsia="宋体" w:cs="Times New Roman"/>
                <w:snapToGrid w:val="0"/>
                <w:color w:val="auto"/>
                <w:sz w:val="36"/>
                <w:szCs w:val="36"/>
                <w:highlight w:val="none"/>
                <w:vertAlign w:val="baseline"/>
              </w:rPr>
            </w:pPr>
            <w:r>
              <w:rPr>
                <w:rFonts w:hint="default" w:ascii="Times New Roman" w:hAnsi="Times New Roman" w:eastAsia="宋体" w:cs="Times New Roman"/>
                <w:snapToGrid w:val="0"/>
                <w:color w:val="auto"/>
                <w:sz w:val="36"/>
                <w:szCs w:val="36"/>
                <w:highlight w:val="none"/>
                <w:vertAlign w:val="baseline"/>
              </w:rPr>
              <w:object>
                <v:shape id="_x0000_i1030" o:spt="75" type="#_x0000_t75" style="height:709.3pt;width:995.7pt;" o:ole="t" filled="f" o:preferrelative="t" stroked="f" coordsize="21600,21600">
                  <v:path/>
                  <v:fill on="f" focussize="0,0"/>
                  <v:stroke on="f"/>
                  <v:imagedata r:id="rId27" o:title=""/>
                  <o:lock v:ext="edit" aspectratio="f"/>
                  <w10:wrap type="none"/>
                  <w10:anchorlock/>
                </v:shape>
                <o:OLEObject Type="Embed" ProgID="Visio.Drawing.15" ShapeID="_x0000_i1030" DrawAspect="Content" ObjectID="_1468075730" r:id="rId26">
                  <o:LockedField>false</o:LockedField>
                </o:OLEObject>
              </w:object>
            </w:r>
          </w:p>
        </w:tc>
      </w:tr>
    </w:tbl>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rPr>
        <w:sectPr>
          <w:pgSz w:w="23811" w:h="16838" w:orient="landscape"/>
          <w:pgMar w:top="1417" w:right="1418" w:bottom="1417" w:left="1418"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dxa"/>
          </w:tcPr>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vertAlign w:val="baseline"/>
              </w:rPr>
            </w:pPr>
            <w:r>
              <w:rPr>
                <w:rFonts w:hint="eastAsia" w:ascii="Times New Roman" w:hAnsi="Times New Roman" w:eastAsia="宋体" w:cs="Times New Roman"/>
                <w:snapToGrid w:val="0"/>
                <w:color w:val="auto"/>
                <w:kern w:val="0"/>
                <w:sz w:val="24"/>
                <w:szCs w:val="24"/>
                <w:highlight w:val="none"/>
                <w:lang w:val="en-US" w:eastAsia="zh-CN" w:bidi="ar-SA"/>
              </w:rPr>
              <w:t>续上表</w:t>
            </w:r>
          </w:p>
        </w:tc>
        <w:tc>
          <w:tcPr>
            <w:tcW w:w="8920" w:type="dxa"/>
          </w:tcPr>
          <w:p>
            <w:pPr>
              <w:numPr>
                <w:ilvl w:val="255"/>
                <w:numId w:val="0"/>
              </w:numPr>
              <w:adjustRightInd w:val="0"/>
              <w:spacing w:line="500" w:lineRule="exact"/>
              <w:ind w:left="480"/>
              <w:rPr>
                <w:rFonts w:hint="default"/>
                <w:lang w:val="en-US" w:eastAsia="zh-CN"/>
              </w:rPr>
            </w:pPr>
            <w:r>
              <w:rPr>
                <w:rFonts w:hint="eastAsia" w:ascii="Times New Roman" w:hAnsi="Times New Roman"/>
                <w:sz w:val="24"/>
              </w:rPr>
              <w:t>“以新带老</w:t>
            </w:r>
            <w:r>
              <w:rPr>
                <w:rFonts w:ascii="Times New Roman" w:hAnsi="Times New Roman"/>
                <w:sz w:val="24"/>
              </w:rPr>
              <w:t>”</w:t>
            </w:r>
            <w:r>
              <w:rPr>
                <w:rFonts w:hint="eastAsia" w:ascii="Times New Roman" w:hAnsi="Times New Roman"/>
                <w:sz w:val="24"/>
              </w:rPr>
              <w:t>削减后现有</w:t>
            </w:r>
            <w:r>
              <w:rPr>
                <w:rFonts w:ascii="Times New Roman" w:hAnsi="Times New Roman"/>
                <w:sz w:val="24"/>
              </w:rPr>
              <w:t>项目污染物排放量见下表</w:t>
            </w:r>
            <w:r>
              <w:rPr>
                <w:rFonts w:hint="eastAsia" w:ascii="Times New Roman" w:hAnsi="Times New Roman"/>
                <w:sz w:val="24"/>
              </w:rPr>
              <w:t>。</w:t>
            </w:r>
          </w:p>
          <w:p>
            <w:pPr>
              <w:numPr>
                <w:ilvl w:val="255"/>
                <w:numId w:val="0"/>
              </w:numPr>
              <w:adjustRightInd w:val="0"/>
              <w:snapToGrid w:val="0"/>
              <w:spacing w:line="500" w:lineRule="exact"/>
              <w:ind w:left="480"/>
              <w:jc w:val="center"/>
              <w:rPr>
                <w:rFonts w:hint="eastAsia"/>
                <w:lang w:val="en-US" w:eastAsia="zh-CN"/>
              </w:rPr>
            </w:pPr>
            <w:r>
              <w:rPr>
                <w:rFonts w:hint="eastAsia" w:ascii="Times New Roman" w:hAnsi="Times New Roman"/>
                <w:b/>
                <w:sz w:val="24"/>
              </w:rPr>
              <w:t>表2-1</w:t>
            </w:r>
            <w:r>
              <w:rPr>
                <w:rFonts w:hint="eastAsia"/>
                <w:b/>
                <w:sz w:val="24"/>
                <w:lang w:val="en-US" w:eastAsia="zh-CN"/>
              </w:rPr>
              <w:t>9</w:t>
            </w:r>
            <w:r>
              <w:rPr>
                <w:rFonts w:hint="eastAsia" w:ascii="Times New Roman" w:hAnsi="Times New Roman"/>
                <w:b/>
                <w:sz w:val="24"/>
              </w:rPr>
              <w:t xml:space="preserve"> “以新带老</w:t>
            </w:r>
            <w:r>
              <w:rPr>
                <w:rFonts w:ascii="Times New Roman" w:hAnsi="Times New Roman"/>
                <w:b/>
                <w:sz w:val="24"/>
              </w:rPr>
              <w:t>”</w:t>
            </w:r>
            <w:r>
              <w:rPr>
                <w:rFonts w:hint="eastAsia" w:ascii="Times New Roman" w:hAnsi="Times New Roman"/>
                <w:b/>
                <w:sz w:val="24"/>
              </w:rPr>
              <w:t>削减后现有</w:t>
            </w:r>
            <w:r>
              <w:rPr>
                <w:rFonts w:ascii="Times New Roman" w:hAnsi="Times New Roman"/>
                <w:b/>
                <w:sz w:val="24"/>
              </w:rPr>
              <w:t>项目污染物排放量一览表</w:t>
            </w:r>
            <w:r>
              <w:rPr>
                <w:rFonts w:hint="eastAsia" w:ascii="Times New Roman" w:hAnsi="Times New Roman"/>
                <w:b/>
                <w:sz w:val="24"/>
              </w:rPr>
              <w:t xml:space="preserve"> t/a</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84"/>
              <w:gridCol w:w="1092"/>
              <w:gridCol w:w="955"/>
              <w:gridCol w:w="1510"/>
              <w:gridCol w:w="811"/>
              <w:gridCol w:w="931"/>
              <w:gridCol w:w="1425"/>
              <w:gridCol w:w="10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污染源</w:t>
                  </w:r>
                </w:p>
              </w:tc>
              <w:tc>
                <w:tcPr>
                  <w:tcW w:w="2047" w:type="dxa"/>
                  <w:gridSpan w:val="2"/>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污染物名称</w:t>
                  </w:r>
                </w:p>
              </w:tc>
              <w:tc>
                <w:tcPr>
                  <w:tcW w:w="1510"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原项目排放量</w:t>
                  </w:r>
                </w:p>
              </w:tc>
              <w:tc>
                <w:tcPr>
                  <w:tcW w:w="1742" w:type="dxa"/>
                  <w:gridSpan w:val="2"/>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“以新带老”情况</w:t>
                  </w:r>
                </w:p>
              </w:tc>
              <w:tc>
                <w:tcPr>
                  <w:tcW w:w="1425" w:type="dxa"/>
                  <w:vMerge w:val="restart"/>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“以新带老”后排放量</w:t>
                  </w:r>
                </w:p>
              </w:tc>
              <w:tc>
                <w:tcPr>
                  <w:tcW w:w="100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510"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排放浓度(mg/L)</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“以新带老”削减量</w:t>
                  </w:r>
                </w:p>
              </w:tc>
              <w:tc>
                <w:tcPr>
                  <w:tcW w:w="1425" w:type="dxa"/>
                  <w:vMerge w:val="continue"/>
                  <w:shd w:val="clear" w:color="auto" w:fill="auto"/>
                  <w:vAlign w:val="center"/>
                </w:tcPr>
                <w:p>
                  <w:pPr>
                    <w:jc w:val="center"/>
                    <w:rPr>
                      <w:rStyle w:val="93"/>
                      <w:rFonts w:hint="default" w:ascii="Times New Roman" w:hAnsi="Times New Roman" w:eastAsia="宋体" w:cs="Times New Roman"/>
                      <w:sz w:val="21"/>
                      <w:szCs w:val="21"/>
                      <w:lang w:val="en-US" w:eastAsia="zh-CN" w:bidi="ar"/>
                    </w:rPr>
                  </w:pPr>
                </w:p>
              </w:tc>
              <w:tc>
                <w:tcPr>
                  <w:tcW w:w="100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生活污水</w:t>
                  </w: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废水量</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219686</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21600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198086</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74.3675</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7.3120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67.0555</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-7.3120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41.2998</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4.0607</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37.2391</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-4.0607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5.4117</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0.5321</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4.8796</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-0.5321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总磷</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0.7974</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0.0784</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0.7190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总氮</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7.9901</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0.7856</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7.2045</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-0.7856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动植物油</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5.757</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5.7570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石油类</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0.9575</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0.9575</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淋浴废水处理设施</w:t>
                  </w:r>
                  <w:r>
                    <w:rPr>
                      <w:rFonts w:hint="eastAsia" w:cs="Times New Roman"/>
                      <w:i w:val="0"/>
                      <w:iCs w:val="0"/>
                      <w:color w:val="000000"/>
                      <w:kern w:val="0"/>
                      <w:sz w:val="21"/>
                      <w:szCs w:val="21"/>
                      <w:u w:val="none"/>
                      <w:lang w:val="en-US" w:eastAsia="zh-CN" w:bidi="ar"/>
                    </w:rPr>
                    <w:t>排水</w:t>
                  </w: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废水量</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-1080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1080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2"/>
                      <w:szCs w:val="22"/>
                      <w:u w:val="none"/>
                      <w:lang w:val="en-US" w:eastAsia="zh-CN" w:bidi="ar"/>
                    </w:rPr>
                    <w:t>-0.5400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0.5400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0.5400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2"/>
                      <w:szCs w:val="22"/>
                      <w:u w:val="none"/>
                      <w:lang w:val="en-US" w:eastAsia="zh-CN" w:bidi="ar"/>
                    </w:rPr>
                    <w:t>-0.4320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0.4320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-0.0432</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0.0432</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总磷</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-0.0054</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0.0054</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总氮</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-0.0648</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0.0648</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制软水废水</w:t>
                  </w: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废水量</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-6464.5</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6464.5</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6464.5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-0.5172</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0.5172</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-0.6465</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0.6465</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0.6465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动力系统冷却塔排水</w:t>
                  </w: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废水量</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7360</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-13000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20360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0.5888</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-1.0400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1.6288</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0.7360</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-1.3000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2.0360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制纯废水</w:t>
                  </w: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废水量</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7818.5</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7818.5</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-7818.5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0.6255</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0.6255</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-0.6255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0.7819</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0.7819</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-0.7819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空调系统补水</w:t>
                  </w: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废水量</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0.0060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0.008</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0.0080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UF超滤系统废水</w:t>
                  </w: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废水量</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2850</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2850</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0.3731</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130.9</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0.3731</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-0.3731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0.4734</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166.1</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0.4734</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-0.4734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RO膜系统废水</w:t>
                  </w: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废水量</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10514.4</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10514.4</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-10514.4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1.3763</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130.9</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1.3763</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-1.3763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204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1.7464</w:t>
                  </w:r>
                </w:p>
              </w:tc>
              <w:tc>
                <w:tcPr>
                  <w:tcW w:w="811"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166.1</w:t>
                  </w:r>
                </w:p>
              </w:tc>
              <w:tc>
                <w:tcPr>
                  <w:tcW w:w="93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1.7464</w:t>
                  </w:r>
                </w:p>
              </w:tc>
              <w:tc>
                <w:tcPr>
                  <w:tcW w:w="1425" w:type="dxa"/>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-1.7464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2931" w:type="dxa"/>
                  <w:gridSpan w:val="3"/>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污染物名称</w:t>
                  </w:r>
                </w:p>
              </w:tc>
              <w:tc>
                <w:tcPr>
                  <w:tcW w:w="1510"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原项目排放量</w:t>
                  </w:r>
                </w:p>
              </w:tc>
              <w:tc>
                <w:tcPr>
                  <w:tcW w:w="1742" w:type="dxa"/>
                  <w:gridSpan w:val="2"/>
                  <w:vMerge w:val="restart"/>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Style w:val="93"/>
                      <w:rFonts w:hint="default" w:ascii="Times New Roman" w:hAnsi="Times New Roman" w:eastAsia="宋体" w:cs="Times New Roman"/>
                      <w:sz w:val="21"/>
                      <w:szCs w:val="21"/>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以新带老</w:t>
                  </w:r>
                  <w:r>
                    <w:rPr>
                      <w:rStyle w:val="93"/>
                      <w:rFonts w:hint="default" w:ascii="Times New Roman" w:hAnsi="Times New Roman" w:eastAsia="宋体" w:cs="Times New Roman"/>
                      <w:sz w:val="21"/>
                      <w:szCs w:val="21"/>
                      <w:lang w:val="en-US" w:eastAsia="zh-CN" w:bidi="ar"/>
                    </w:rPr>
                    <w:t>”</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削减量</w:t>
                  </w:r>
                </w:p>
              </w:tc>
              <w:tc>
                <w:tcPr>
                  <w:tcW w:w="1425" w:type="dxa"/>
                  <w:vMerge w:val="restart"/>
                  <w:shd w:val="clear" w:color="auto" w:fill="auto"/>
                  <w:vAlign w:val="center"/>
                </w:tcPr>
                <w:p>
                  <w:pPr>
                    <w:keepNext w:val="0"/>
                    <w:keepLines w:val="0"/>
                    <w:widowControl/>
                    <w:suppressLineNumbers w:val="0"/>
                    <w:jc w:val="center"/>
                    <w:textAlignment w:val="center"/>
                    <w:rPr>
                      <w:rStyle w:val="93"/>
                      <w:rFonts w:hint="default" w:ascii="Times New Roman" w:hAnsi="Times New Roman" w:eastAsia="宋体" w:cs="Times New Roman"/>
                      <w:sz w:val="21"/>
                      <w:szCs w:val="21"/>
                      <w:lang w:val="en-US" w:eastAsia="zh-CN" w:bidi="ar"/>
                    </w:rPr>
                  </w:pPr>
                  <w:r>
                    <w:rPr>
                      <w:rStyle w:val="93"/>
                      <w:rFonts w:hint="default" w:ascii="Times New Roman" w:hAnsi="Times New Roman" w:eastAsia="宋体" w:cs="Times New Roman"/>
                      <w:sz w:val="21"/>
                      <w:szCs w:val="21"/>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以新带老</w:t>
                  </w:r>
                  <w:r>
                    <w:rPr>
                      <w:rStyle w:val="93"/>
                      <w:rFonts w:hint="default" w:ascii="Times New Roman" w:hAnsi="Times New Roman" w:eastAsia="宋体" w:cs="Times New Roman"/>
                      <w:sz w:val="21"/>
                      <w:szCs w:val="21"/>
                      <w:lang w:val="en-US" w:eastAsia="zh-CN" w:bidi="ar"/>
                    </w:rPr>
                    <w:t>”</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削减后排放量</w:t>
                  </w:r>
                </w:p>
              </w:tc>
              <w:tc>
                <w:tcPr>
                  <w:tcW w:w="100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排放增减量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2931" w:type="dxa"/>
                  <w:gridSpan w:val="3"/>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510"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742" w:type="dxa"/>
                  <w:gridSpan w:val="2"/>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25"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水污染物（接管）</w:t>
                  </w:r>
                </w:p>
              </w:tc>
              <w:tc>
                <w:tcPr>
                  <w:tcW w:w="1092"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生活污水</w:t>
                  </w:r>
                  <w:r>
                    <w:rPr>
                      <w:rFonts w:hint="eastAsia" w:ascii="Times New Roman" w:hAnsi="Times New Roman" w:eastAsia="宋体" w:cs="Times New Roman"/>
                      <w:i w:val="0"/>
                      <w:iCs w:val="0"/>
                      <w:color w:val="000000"/>
                      <w:kern w:val="0"/>
                      <w:sz w:val="21"/>
                      <w:szCs w:val="21"/>
                      <w:u w:val="none"/>
                      <w:lang w:val="en-US" w:eastAsia="zh-CN" w:bidi="ar"/>
                    </w:rPr>
                    <w:t>（小计）</w:t>
                  </w: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废水量</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219686</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20520</w:t>
                  </w:r>
                </w:p>
              </w:tc>
              <w:tc>
                <w:tcPr>
                  <w:tcW w:w="1425" w:type="dxa"/>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199166</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-20520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74.3675</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6.7720</w:t>
                  </w:r>
                </w:p>
              </w:tc>
              <w:tc>
                <w:tcPr>
                  <w:tcW w:w="1425" w:type="dxa"/>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67.5955</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-6.7720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41.2998</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3.6287</w:t>
                  </w:r>
                </w:p>
              </w:tc>
              <w:tc>
                <w:tcPr>
                  <w:tcW w:w="1425" w:type="dxa"/>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37.6711</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-3.6287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5.4117</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0.4889</w:t>
                  </w:r>
                </w:p>
              </w:tc>
              <w:tc>
                <w:tcPr>
                  <w:tcW w:w="1425" w:type="dxa"/>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4.9228</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-0.4889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总磷</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0.7974</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0.0730</w:t>
                  </w:r>
                </w:p>
              </w:tc>
              <w:tc>
                <w:tcPr>
                  <w:tcW w:w="1425" w:type="dxa"/>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0.7244</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总氮</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7.9901</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0.7208</w:t>
                  </w:r>
                </w:p>
              </w:tc>
              <w:tc>
                <w:tcPr>
                  <w:tcW w:w="1425" w:type="dxa"/>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7.2693</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-0.7208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动植</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物油</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5.757</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425" w:type="dxa"/>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5.757</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石油类</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0.9575</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425" w:type="dxa"/>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0.9575</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生产废水</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（小计）</w:t>
                  </w: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废水量</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28742.9</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1918.4</w:t>
                  </w:r>
                </w:p>
              </w:tc>
              <w:tc>
                <w:tcPr>
                  <w:tcW w:w="14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26824.5</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2.5266</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0.8237</w:t>
                  </w:r>
                </w:p>
              </w:tc>
              <w:tc>
                <w:tcPr>
                  <w:tcW w:w="14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1.7029</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-0.8237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3.1464</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1.0632</w:t>
                  </w:r>
                </w:p>
              </w:tc>
              <w:tc>
                <w:tcPr>
                  <w:tcW w:w="14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2.0832</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废水量</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248428.9</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22438.4</w:t>
                  </w:r>
                </w:p>
              </w:tc>
              <w:tc>
                <w:tcPr>
                  <w:tcW w:w="14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225990.5</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-22438.4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76.8941</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7.5957</w:t>
                  </w:r>
                </w:p>
              </w:tc>
              <w:tc>
                <w:tcPr>
                  <w:tcW w:w="14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69.2984</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-7.5957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44.4462</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4.6919</w:t>
                  </w:r>
                </w:p>
              </w:tc>
              <w:tc>
                <w:tcPr>
                  <w:tcW w:w="14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39.7543</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0"/>
                      <w:szCs w:val="20"/>
                      <w:u w:val="none"/>
                      <w:lang w:val="en-US" w:eastAsia="zh-CN" w:bidi="ar"/>
                    </w:rPr>
                    <w:t>-4.6919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5.4117</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0.4889</w:t>
                  </w:r>
                </w:p>
              </w:tc>
              <w:tc>
                <w:tcPr>
                  <w:tcW w:w="14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4.9228</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-0.4889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总磷</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0.7974</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0.0730</w:t>
                  </w:r>
                </w:p>
              </w:tc>
              <w:tc>
                <w:tcPr>
                  <w:tcW w:w="14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0.7244</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总氮</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7.9901</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0.7208</w:t>
                  </w:r>
                </w:p>
              </w:tc>
              <w:tc>
                <w:tcPr>
                  <w:tcW w:w="14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7.2693</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-0.7208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动植</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物油</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5.7570</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4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5.7570</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884"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92"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95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石油类</w:t>
                  </w:r>
                </w:p>
              </w:tc>
              <w:tc>
                <w:tcPr>
                  <w:tcW w:w="151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0.9575</w:t>
                  </w:r>
                </w:p>
              </w:tc>
              <w:tc>
                <w:tcPr>
                  <w:tcW w:w="1742"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4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0.9575</w:t>
                  </w:r>
                </w:p>
              </w:tc>
              <w:tc>
                <w:tcPr>
                  <w:tcW w:w="100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bl>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vertAlign w:val="baseline"/>
              </w:rPr>
            </w:pPr>
          </w:p>
        </w:tc>
      </w:tr>
    </w:tbl>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rPr>
        <w:sectPr>
          <w:pgSz w:w="11905" w:h="16838"/>
          <w:pgMar w:top="1417" w:right="1417" w:bottom="1417" w:left="1417"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三、区域环境质量现状、环境保护目标及评价标准</w:t>
      </w:r>
      <w:bookmarkEnd w:id="8"/>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15" w:type="dxa"/>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区域</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质量</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现状</w:t>
            </w:r>
          </w:p>
        </w:tc>
        <w:tc>
          <w:tcPr>
            <w:tcW w:w="8872" w:type="dxa"/>
            <w:noWrap w:val="0"/>
            <w:vAlign w:val="center"/>
          </w:tcPr>
          <w:p>
            <w:pPr>
              <w:numPr>
                <w:ilvl w:val="0"/>
                <w:numId w:val="7"/>
              </w:numPr>
              <w:adjustRightInd w:val="0"/>
              <w:snapToGrid w:val="0"/>
              <w:spacing w:line="500" w:lineRule="exact"/>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大气环境</w:t>
            </w:r>
          </w:p>
          <w:p>
            <w:pPr>
              <w:adjustRightInd w:val="0"/>
              <w:snapToGrid w:val="0"/>
              <w:spacing w:line="500" w:lineRule="exact"/>
              <w:ind w:firstLine="482" w:firstLineChars="200"/>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（1）大气环境质量现状</w:t>
            </w:r>
          </w:p>
          <w:p>
            <w:pPr>
              <w:spacing w:line="500" w:lineRule="exact"/>
              <w:ind w:firstLine="480" w:firstLineChars="200"/>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根据《2021年度无锡市生态环境状况公报》，与2020年相比，PM</w:t>
            </w:r>
            <w:r>
              <w:rPr>
                <w:rFonts w:hint="default" w:ascii="Times New Roman" w:hAnsi="Times New Roman" w:eastAsia="宋体" w:cs="Times New Roman"/>
                <w:color w:val="auto"/>
                <w:sz w:val="24"/>
                <w:szCs w:val="28"/>
                <w:highlight w:val="none"/>
                <w:vertAlign w:val="subscript"/>
              </w:rPr>
              <w:t>2.5</w:t>
            </w:r>
            <w:r>
              <w:rPr>
                <w:rFonts w:hint="default" w:ascii="Times New Roman" w:hAnsi="Times New Roman" w:eastAsia="宋体" w:cs="Times New Roman"/>
                <w:color w:val="auto"/>
                <w:sz w:val="24"/>
                <w:szCs w:val="28"/>
                <w:highlight w:val="none"/>
              </w:rPr>
              <w:t>、PM</w:t>
            </w:r>
            <w:r>
              <w:rPr>
                <w:rFonts w:hint="default" w:ascii="Times New Roman" w:hAnsi="Times New Roman" w:eastAsia="宋体" w:cs="Times New Roman"/>
                <w:color w:val="auto"/>
                <w:sz w:val="24"/>
                <w:szCs w:val="28"/>
                <w:highlight w:val="none"/>
                <w:vertAlign w:val="subscript"/>
              </w:rPr>
              <w:t>10</w:t>
            </w:r>
            <w:r>
              <w:rPr>
                <w:rFonts w:hint="default" w:ascii="Times New Roman" w:hAnsi="Times New Roman" w:eastAsia="宋体" w:cs="Times New Roman"/>
                <w:color w:val="auto"/>
                <w:sz w:val="24"/>
                <w:szCs w:val="28"/>
                <w:highlight w:val="none"/>
              </w:rPr>
              <w:t>、CO浓度分别下降12.1%、3.6%、8.3%，NO</w:t>
            </w:r>
            <w:r>
              <w:rPr>
                <w:rFonts w:hint="default" w:ascii="Times New Roman" w:hAnsi="Times New Roman" w:eastAsia="宋体" w:cs="Times New Roman"/>
                <w:color w:val="auto"/>
                <w:sz w:val="24"/>
                <w:szCs w:val="28"/>
                <w:highlight w:val="none"/>
                <w:vertAlign w:val="subscript"/>
              </w:rPr>
              <w:t>2</w:t>
            </w:r>
            <w:r>
              <w:rPr>
                <w:rFonts w:hint="default" w:ascii="Times New Roman" w:hAnsi="Times New Roman" w:eastAsia="宋体" w:cs="Times New Roman"/>
                <w:color w:val="auto"/>
                <w:sz w:val="24"/>
                <w:szCs w:val="28"/>
                <w:highlight w:val="none"/>
              </w:rPr>
              <w:t>和SO</w:t>
            </w:r>
            <w:r>
              <w:rPr>
                <w:rFonts w:hint="default" w:ascii="Times New Roman" w:hAnsi="Times New Roman" w:eastAsia="宋体" w:cs="Times New Roman"/>
                <w:color w:val="auto"/>
                <w:sz w:val="24"/>
                <w:szCs w:val="28"/>
                <w:highlight w:val="none"/>
                <w:vertAlign w:val="subscript"/>
              </w:rPr>
              <w:t>2</w:t>
            </w:r>
            <w:r>
              <w:rPr>
                <w:rFonts w:hint="default" w:ascii="Times New Roman" w:hAnsi="Times New Roman" w:eastAsia="宋体" w:cs="Times New Roman"/>
                <w:color w:val="auto"/>
                <w:sz w:val="24"/>
                <w:szCs w:val="28"/>
                <w:highlight w:val="none"/>
              </w:rPr>
              <w:t>同比持平，O</w:t>
            </w:r>
            <w:r>
              <w:rPr>
                <w:rFonts w:hint="default" w:ascii="Times New Roman" w:hAnsi="Times New Roman" w:eastAsia="宋体" w:cs="Times New Roman"/>
                <w:color w:val="auto"/>
                <w:sz w:val="24"/>
                <w:szCs w:val="28"/>
                <w:highlight w:val="none"/>
                <w:vertAlign w:val="subscript"/>
              </w:rPr>
              <w:t>3</w:t>
            </w:r>
            <w:r>
              <w:rPr>
                <w:rFonts w:hint="default" w:ascii="Times New Roman" w:hAnsi="Times New Roman" w:eastAsia="宋体" w:cs="Times New Roman"/>
                <w:color w:val="auto"/>
                <w:sz w:val="24"/>
                <w:szCs w:val="28"/>
                <w:highlight w:val="none"/>
              </w:rPr>
              <w:t>同比上升2.3%。</w:t>
            </w:r>
          </w:p>
          <w:p>
            <w:pPr>
              <w:spacing w:line="500" w:lineRule="exact"/>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2021年度无锡市全市环境空气质量情况见表3-1。</w:t>
            </w:r>
          </w:p>
          <w:p>
            <w:pPr>
              <w:numPr>
                <w:ilvl w:val="0"/>
                <w:numId w:val="8"/>
              </w:numPr>
              <w:adjustRightInd w:val="0"/>
              <w:snapToGrid w:val="0"/>
              <w:spacing w:line="500" w:lineRule="exact"/>
              <w:ind w:left="840"/>
              <w:jc w:val="center"/>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bCs/>
                <w:snapToGrid w:val="0"/>
                <w:color w:val="auto"/>
                <w:spacing w:val="-8"/>
                <w:sz w:val="24"/>
                <w:szCs w:val="22"/>
                <w:highlight w:val="none"/>
              </w:rPr>
              <w:t>2021年无锡市环境空气质量情况</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813"/>
              <w:gridCol w:w="1244"/>
              <w:gridCol w:w="1092"/>
              <w:gridCol w:w="1194"/>
              <w:gridCol w:w="1244"/>
              <w:gridCol w:w="1270"/>
              <w:gridCol w:w="11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区域</w:t>
                  </w:r>
                </w:p>
              </w:tc>
              <w:tc>
                <w:tcPr>
                  <w:tcW w:w="469" w:type="pct"/>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年份</w:t>
                  </w:r>
                </w:p>
              </w:tc>
              <w:tc>
                <w:tcPr>
                  <w:tcW w:w="719" w:type="pct"/>
                  <w:noWrap w:val="0"/>
                  <w:vAlign w:val="center"/>
                </w:tcPr>
                <w:p>
                  <w:pPr>
                    <w:jc w:val="center"/>
                    <w:rPr>
                      <w:rFonts w:hint="default" w:ascii="Times New Roman" w:hAnsi="Times New Roman" w:eastAsia="宋体" w:cs="Times New Roman"/>
                      <w:b/>
                      <w:color w:val="auto"/>
                      <w:szCs w:val="21"/>
                      <w:highlight w:val="none"/>
                      <w:vertAlign w:val="subscript"/>
                    </w:rPr>
                  </w:pPr>
                  <w:r>
                    <w:rPr>
                      <w:rFonts w:hint="default" w:ascii="Times New Roman" w:hAnsi="Times New Roman" w:eastAsia="宋体" w:cs="Times New Roman"/>
                      <w:b/>
                      <w:color w:val="auto"/>
                      <w:szCs w:val="21"/>
                      <w:highlight w:val="none"/>
                    </w:rPr>
                    <w:t>PM</w:t>
                  </w:r>
                  <w:r>
                    <w:rPr>
                      <w:rFonts w:hint="default" w:ascii="Times New Roman" w:hAnsi="Times New Roman" w:eastAsia="宋体" w:cs="Times New Roman"/>
                      <w:b/>
                      <w:color w:val="auto"/>
                      <w:szCs w:val="21"/>
                      <w:highlight w:val="none"/>
                      <w:vertAlign w:val="subscript"/>
                    </w:rPr>
                    <w:t>2.5</w:t>
                  </w:r>
                </w:p>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(μg/m</w:t>
                  </w:r>
                  <w:r>
                    <w:rPr>
                      <w:rFonts w:hint="default" w:ascii="Times New Roman" w:hAnsi="Times New Roman" w:eastAsia="宋体" w:cs="Times New Roman"/>
                      <w:b/>
                      <w:color w:val="auto"/>
                      <w:szCs w:val="21"/>
                      <w:highlight w:val="none"/>
                      <w:vertAlign w:val="superscript"/>
                    </w:rPr>
                    <w:t>3</w:t>
                  </w:r>
                  <w:r>
                    <w:rPr>
                      <w:rFonts w:hint="default" w:ascii="Times New Roman" w:hAnsi="Times New Roman" w:eastAsia="宋体" w:cs="Times New Roman"/>
                      <w:b/>
                      <w:color w:val="auto"/>
                      <w:szCs w:val="21"/>
                      <w:highlight w:val="none"/>
                    </w:rPr>
                    <w:t>)</w:t>
                  </w:r>
                </w:p>
              </w:tc>
              <w:tc>
                <w:tcPr>
                  <w:tcW w:w="631" w:type="pct"/>
                  <w:noWrap w:val="0"/>
                  <w:vAlign w:val="center"/>
                </w:tcPr>
                <w:p>
                  <w:pPr>
                    <w:jc w:val="center"/>
                    <w:rPr>
                      <w:rFonts w:hint="default" w:ascii="Times New Roman" w:hAnsi="Times New Roman" w:eastAsia="宋体" w:cs="Times New Roman"/>
                      <w:b/>
                      <w:color w:val="auto"/>
                      <w:szCs w:val="21"/>
                      <w:highlight w:val="none"/>
                      <w:vertAlign w:val="subscript"/>
                    </w:rPr>
                  </w:pPr>
                  <w:r>
                    <w:rPr>
                      <w:rFonts w:hint="default" w:ascii="Times New Roman" w:hAnsi="Times New Roman" w:eastAsia="宋体" w:cs="Times New Roman"/>
                      <w:b/>
                      <w:color w:val="auto"/>
                      <w:szCs w:val="21"/>
                      <w:highlight w:val="none"/>
                    </w:rPr>
                    <w:t>PM</w:t>
                  </w:r>
                  <w:r>
                    <w:rPr>
                      <w:rFonts w:hint="default" w:ascii="Times New Roman" w:hAnsi="Times New Roman" w:eastAsia="宋体" w:cs="Times New Roman"/>
                      <w:b/>
                      <w:color w:val="auto"/>
                      <w:szCs w:val="21"/>
                      <w:highlight w:val="none"/>
                      <w:vertAlign w:val="subscript"/>
                    </w:rPr>
                    <w:t>10</w:t>
                  </w:r>
                </w:p>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(μg/m</w:t>
                  </w:r>
                  <w:r>
                    <w:rPr>
                      <w:rFonts w:hint="default" w:ascii="Times New Roman" w:hAnsi="Times New Roman" w:eastAsia="宋体" w:cs="Times New Roman"/>
                      <w:b/>
                      <w:color w:val="auto"/>
                      <w:szCs w:val="21"/>
                      <w:highlight w:val="none"/>
                      <w:vertAlign w:val="superscript"/>
                    </w:rPr>
                    <w:t>3</w:t>
                  </w:r>
                  <w:r>
                    <w:rPr>
                      <w:rFonts w:hint="default" w:ascii="Times New Roman" w:hAnsi="Times New Roman" w:eastAsia="宋体" w:cs="Times New Roman"/>
                      <w:b/>
                      <w:color w:val="auto"/>
                      <w:szCs w:val="21"/>
                      <w:highlight w:val="none"/>
                    </w:rPr>
                    <w:t>)</w:t>
                  </w:r>
                </w:p>
              </w:tc>
              <w:tc>
                <w:tcPr>
                  <w:tcW w:w="690" w:type="pct"/>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二氧化硫(μg/m</w:t>
                  </w:r>
                  <w:r>
                    <w:rPr>
                      <w:rFonts w:hint="default" w:ascii="Times New Roman" w:hAnsi="Times New Roman" w:eastAsia="宋体" w:cs="Times New Roman"/>
                      <w:b/>
                      <w:color w:val="auto"/>
                      <w:szCs w:val="21"/>
                      <w:highlight w:val="none"/>
                      <w:vertAlign w:val="superscript"/>
                    </w:rPr>
                    <w:t>3</w:t>
                  </w:r>
                  <w:r>
                    <w:rPr>
                      <w:rFonts w:hint="default" w:ascii="Times New Roman" w:hAnsi="Times New Roman" w:eastAsia="宋体" w:cs="Times New Roman"/>
                      <w:b/>
                      <w:color w:val="auto"/>
                      <w:szCs w:val="21"/>
                      <w:highlight w:val="none"/>
                    </w:rPr>
                    <w:t>)</w:t>
                  </w:r>
                </w:p>
              </w:tc>
              <w:tc>
                <w:tcPr>
                  <w:tcW w:w="719" w:type="pct"/>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二氧化氮(ug/m</w:t>
                  </w:r>
                  <w:r>
                    <w:rPr>
                      <w:rFonts w:hint="default" w:ascii="Times New Roman" w:hAnsi="Times New Roman" w:eastAsia="宋体" w:cs="Times New Roman"/>
                      <w:b/>
                      <w:color w:val="auto"/>
                      <w:szCs w:val="21"/>
                      <w:highlight w:val="none"/>
                      <w:vertAlign w:val="superscript"/>
                    </w:rPr>
                    <w:t>3</w:t>
                  </w:r>
                  <w:r>
                    <w:rPr>
                      <w:rFonts w:hint="default" w:ascii="Times New Roman" w:hAnsi="Times New Roman" w:eastAsia="宋体" w:cs="Times New Roman"/>
                      <w:b/>
                      <w:color w:val="auto"/>
                      <w:szCs w:val="21"/>
                      <w:highlight w:val="none"/>
                    </w:rPr>
                    <w:t>)</w:t>
                  </w:r>
                </w:p>
              </w:tc>
              <w:tc>
                <w:tcPr>
                  <w:tcW w:w="734" w:type="pct"/>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一氧化碳(mg/m</w:t>
                  </w:r>
                  <w:r>
                    <w:rPr>
                      <w:rFonts w:hint="default" w:ascii="Times New Roman" w:hAnsi="Times New Roman" w:eastAsia="宋体" w:cs="Times New Roman"/>
                      <w:b/>
                      <w:color w:val="auto"/>
                      <w:szCs w:val="21"/>
                      <w:highlight w:val="none"/>
                      <w:vertAlign w:val="superscript"/>
                    </w:rPr>
                    <w:t>3</w:t>
                  </w:r>
                  <w:r>
                    <w:rPr>
                      <w:rFonts w:hint="default" w:ascii="Times New Roman" w:hAnsi="Times New Roman" w:eastAsia="宋体" w:cs="Times New Roman"/>
                      <w:b/>
                      <w:color w:val="auto"/>
                      <w:szCs w:val="21"/>
                      <w:highlight w:val="none"/>
                    </w:rPr>
                    <w:t>)</w:t>
                  </w:r>
                </w:p>
              </w:tc>
              <w:tc>
                <w:tcPr>
                  <w:tcW w:w="638" w:type="pct"/>
                  <w:noWrap w:val="0"/>
                  <w:vAlign w:val="center"/>
                </w:tcPr>
                <w:p>
                  <w:pPr>
                    <w:jc w:val="center"/>
                    <w:rPr>
                      <w:rFonts w:hint="default" w:ascii="Times New Roman" w:hAnsi="Times New Roman" w:eastAsia="宋体" w:cs="Times New Roman"/>
                      <w:b/>
                      <w:color w:val="auto"/>
                      <w:szCs w:val="21"/>
                      <w:highlight w:val="none"/>
                      <w:vertAlign w:val="subscript"/>
                    </w:rPr>
                  </w:pPr>
                  <w:r>
                    <w:rPr>
                      <w:rFonts w:hint="default" w:ascii="Times New Roman" w:hAnsi="Times New Roman" w:eastAsia="宋体" w:cs="Times New Roman"/>
                      <w:b/>
                      <w:color w:val="auto"/>
                      <w:szCs w:val="21"/>
                      <w:highlight w:val="none"/>
                    </w:rPr>
                    <w:t>O</w:t>
                  </w:r>
                  <w:r>
                    <w:rPr>
                      <w:rFonts w:hint="default" w:ascii="Times New Roman" w:hAnsi="Times New Roman" w:eastAsia="宋体" w:cs="Times New Roman"/>
                      <w:b/>
                      <w:color w:val="auto"/>
                      <w:szCs w:val="21"/>
                      <w:highlight w:val="none"/>
                      <w:vertAlign w:val="subscript"/>
                    </w:rPr>
                    <w:t>3</w:t>
                  </w:r>
                </w:p>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(μg/m</w:t>
                  </w:r>
                  <w:r>
                    <w:rPr>
                      <w:rFonts w:hint="default" w:ascii="Times New Roman" w:hAnsi="Times New Roman" w:eastAsia="宋体" w:cs="Times New Roman"/>
                      <w:b/>
                      <w:color w:val="auto"/>
                      <w:szCs w:val="21"/>
                      <w:highlight w:val="none"/>
                      <w:vertAlign w:val="superscript"/>
                    </w:rPr>
                    <w:t>3</w:t>
                  </w:r>
                  <w:r>
                    <w:rPr>
                      <w:rFonts w:hint="default" w:ascii="Times New Roman" w:hAnsi="Times New Roman" w:eastAsia="宋体" w:cs="Times New Roman"/>
                      <w:b/>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96"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无锡市</w:t>
                  </w:r>
                </w:p>
              </w:tc>
              <w:tc>
                <w:tcPr>
                  <w:tcW w:w="469"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2021年</w:t>
                  </w:r>
                </w:p>
              </w:tc>
              <w:tc>
                <w:tcPr>
                  <w:tcW w:w="719"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29</w:t>
                  </w:r>
                </w:p>
              </w:tc>
              <w:tc>
                <w:tcPr>
                  <w:tcW w:w="631"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54</w:t>
                  </w:r>
                </w:p>
              </w:tc>
              <w:tc>
                <w:tcPr>
                  <w:tcW w:w="69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w:t>
                  </w:r>
                </w:p>
              </w:tc>
              <w:tc>
                <w:tcPr>
                  <w:tcW w:w="719"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34</w:t>
                  </w:r>
                </w:p>
              </w:tc>
              <w:tc>
                <w:tcPr>
                  <w:tcW w:w="734"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p>
              </w:tc>
              <w:tc>
                <w:tcPr>
                  <w:tcW w:w="638"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3" w:hRule="atLeast"/>
                <w:jc w:val="center"/>
              </w:trPr>
              <w:tc>
                <w:tcPr>
                  <w:tcW w:w="866" w:type="pct"/>
                  <w:gridSpan w:val="2"/>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评价标准</w:t>
                  </w:r>
                </w:p>
              </w:tc>
              <w:tc>
                <w:tcPr>
                  <w:tcW w:w="719"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w:t>
                  </w:r>
                </w:p>
              </w:tc>
              <w:tc>
                <w:tcPr>
                  <w:tcW w:w="631"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w:t>
                  </w:r>
                </w:p>
              </w:tc>
              <w:tc>
                <w:tcPr>
                  <w:tcW w:w="690"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60</w:t>
                  </w:r>
                </w:p>
              </w:tc>
              <w:tc>
                <w:tcPr>
                  <w:tcW w:w="719"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w:t>
                  </w:r>
                </w:p>
              </w:tc>
              <w:tc>
                <w:tcPr>
                  <w:tcW w:w="734"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638"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160</w:t>
                  </w:r>
                </w:p>
              </w:tc>
            </w:tr>
          </w:tbl>
          <w:p>
            <w:pPr>
              <w:pStyle w:val="53"/>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szCs w:val="28"/>
                <w:highlight w:val="none"/>
              </w:rPr>
              <w:t>2021年度无锡市生态环境状况公报</w:t>
            </w:r>
            <w:r>
              <w:rPr>
                <w:rFonts w:hint="default" w:ascii="Times New Roman" w:hAnsi="Times New Roman" w:eastAsia="宋体" w:cs="Times New Roman"/>
                <w:color w:val="auto"/>
                <w:sz w:val="24"/>
                <w:highlight w:val="none"/>
              </w:rPr>
              <w:t>》，按照《环境空气质量标准》（GB3095-2012）二级标准进行年度评价，各市（县）、区臭氧浓度未达标，其余指标均已达标。综上，项目所在地属于不达标区。</w:t>
            </w:r>
          </w:p>
          <w:p>
            <w:pPr>
              <w:adjustRightInd w:val="0"/>
              <w:snapToGrid w:val="0"/>
              <w:spacing w:line="500" w:lineRule="exact"/>
              <w:ind w:left="16" w:firstLine="48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根据《中华人民共和国大气污染防治法》的要求，未达标城市需要编制限期达标规划，明确限期达标，制定有效的大气污染防治措施。无锡市已按要求开展限期达标规划。</w:t>
            </w:r>
          </w:p>
          <w:p>
            <w:pPr>
              <w:adjustRightInd w:val="0"/>
              <w:snapToGrid w:val="0"/>
              <w:spacing w:line="500" w:lineRule="exact"/>
              <w:ind w:left="16" w:firstLine="48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根据《无锡市大气环境质量限期达标规划（2018-2025）》，无锡市达标规划的规划范围为：整个无锡市全市范围（4650 平方公里）。无锡市区面积 1643.88平方公里，另有太湖水域 397.8 平方公里。下辖共 5 个区 2 个市（梁溪区、滨湖区、惠山区、锡山区、新吴区、江阴市、宜兴市）、7 个镇、41 个街道。</w:t>
            </w:r>
          </w:p>
          <w:p>
            <w:pPr>
              <w:adjustRightInd w:val="0"/>
              <w:snapToGrid w:val="0"/>
              <w:spacing w:line="500" w:lineRule="exact"/>
              <w:ind w:left="16" w:firstLine="48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达标期限：无锡市环境空气质量在 2025 年实现全面达标。</w:t>
            </w:r>
          </w:p>
          <w:p>
            <w:pPr>
              <w:adjustRightInd w:val="0"/>
              <w:snapToGrid w:val="0"/>
              <w:spacing w:line="500" w:lineRule="exact"/>
              <w:ind w:left="16" w:firstLine="48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近期目标：根据国家对长三角地区提出的 2025 年前后达标的初步要求，以及江苏省“鼓励条件较好的城市在 2023 年前达标，其他城市在 2025 年前后达标”的初步考虑，无锡市 2020 年 PM</w:t>
            </w:r>
            <w:r>
              <w:rPr>
                <w:rFonts w:hint="default" w:ascii="Times New Roman" w:hAnsi="Times New Roman" w:eastAsia="宋体" w:cs="Times New Roman"/>
                <w:color w:val="auto"/>
                <w:sz w:val="24"/>
                <w:szCs w:val="22"/>
                <w:highlight w:val="none"/>
                <w:vertAlign w:val="subscript"/>
              </w:rPr>
              <w:t>2.5</w:t>
            </w:r>
            <w:r>
              <w:rPr>
                <w:rFonts w:hint="default" w:ascii="Times New Roman" w:hAnsi="Times New Roman" w:eastAsia="宋体" w:cs="Times New Roman"/>
                <w:color w:val="auto"/>
                <w:sz w:val="24"/>
                <w:szCs w:val="22"/>
                <w:highlight w:val="none"/>
              </w:rPr>
              <w:t>年均浓度控制在 40µg/m</w:t>
            </w:r>
            <w:r>
              <w:rPr>
                <w:rFonts w:hint="default" w:ascii="Times New Roman" w:hAnsi="Times New Roman" w:eastAsia="宋体" w:cs="Times New Roman"/>
                <w:color w:val="auto"/>
                <w:sz w:val="24"/>
                <w:szCs w:val="22"/>
                <w:highlight w:val="none"/>
                <w:vertAlign w:val="superscript"/>
              </w:rPr>
              <w:t>3</w:t>
            </w:r>
            <w:r>
              <w:rPr>
                <w:rFonts w:hint="default" w:ascii="Times New Roman" w:hAnsi="Times New Roman" w:eastAsia="宋体" w:cs="Times New Roman"/>
                <w:color w:val="auto"/>
                <w:sz w:val="24"/>
                <w:szCs w:val="22"/>
                <w:highlight w:val="none"/>
              </w:rPr>
              <w:t>左右，二氧化氮达到国家二级标准，通过与 NOx 等污染物的协同控制，O</w:t>
            </w:r>
            <w:r>
              <w:rPr>
                <w:rFonts w:hint="default" w:ascii="Times New Roman" w:hAnsi="Times New Roman" w:eastAsia="宋体" w:cs="Times New Roman"/>
                <w:color w:val="auto"/>
                <w:sz w:val="24"/>
                <w:szCs w:val="22"/>
                <w:highlight w:val="none"/>
                <w:vertAlign w:val="subscript"/>
              </w:rPr>
              <w:t>3</w:t>
            </w:r>
            <w:r>
              <w:rPr>
                <w:rFonts w:hint="default" w:ascii="Times New Roman" w:hAnsi="Times New Roman" w:eastAsia="宋体" w:cs="Times New Roman"/>
                <w:color w:val="auto"/>
                <w:sz w:val="24"/>
                <w:szCs w:val="22"/>
                <w:highlight w:val="none"/>
              </w:rPr>
              <w:t>浓度出现拐点。</w:t>
            </w:r>
          </w:p>
          <w:p>
            <w:pPr>
              <w:adjustRightInd w:val="0"/>
              <w:snapToGrid w:val="0"/>
              <w:spacing w:line="500" w:lineRule="exact"/>
              <w:ind w:left="16" w:firstLine="48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远期目标：力争到 2025 年，无锡市环境空气质量达到国家二级标准要求，PM</w:t>
            </w:r>
            <w:r>
              <w:rPr>
                <w:rFonts w:hint="default" w:ascii="Times New Roman" w:hAnsi="Times New Roman" w:eastAsia="宋体" w:cs="Times New Roman"/>
                <w:color w:val="auto"/>
                <w:sz w:val="24"/>
                <w:szCs w:val="22"/>
                <w:highlight w:val="none"/>
                <w:vertAlign w:val="subscript"/>
              </w:rPr>
              <w:t>2.5</w:t>
            </w:r>
            <w:r>
              <w:rPr>
                <w:rFonts w:hint="default" w:ascii="Times New Roman" w:hAnsi="Times New Roman" w:eastAsia="宋体" w:cs="Times New Roman"/>
                <w:color w:val="auto"/>
                <w:sz w:val="24"/>
                <w:szCs w:val="22"/>
                <w:highlight w:val="none"/>
              </w:rPr>
              <w:t>浓度达到 35µg/m</w:t>
            </w:r>
            <w:r>
              <w:rPr>
                <w:rFonts w:hint="default" w:ascii="Times New Roman" w:hAnsi="Times New Roman" w:eastAsia="宋体" w:cs="Times New Roman"/>
                <w:color w:val="auto"/>
                <w:sz w:val="24"/>
                <w:szCs w:val="22"/>
                <w:highlight w:val="none"/>
                <w:vertAlign w:val="superscript"/>
              </w:rPr>
              <w:t>3</w:t>
            </w:r>
            <w:r>
              <w:rPr>
                <w:rFonts w:hint="default" w:ascii="Times New Roman" w:hAnsi="Times New Roman" w:eastAsia="宋体" w:cs="Times New Roman"/>
                <w:color w:val="auto"/>
                <w:sz w:val="24"/>
                <w:szCs w:val="22"/>
                <w:highlight w:val="none"/>
              </w:rPr>
              <w:t>左右。</w:t>
            </w:r>
          </w:p>
          <w:p>
            <w:pPr>
              <w:adjustRightInd w:val="0"/>
              <w:snapToGrid w:val="0"/>
              <w:spacing w:line="500" w:lineRule="exact"/>
              <w:ind w:left="16" w:firstLine="48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总体战略：以空气质量达标为核心目标，推进能源结构调整，优化产业结构和布局，加快推进挥发性有机物综合整治，深化火电行业超低排放和工业锅炉整治成果，推进热点整合，提高扬尘管理水平，促进 PM</w:t>
            </w:r>
            <w:r>
              <w:rPr>
                <w:rFonts w:hint="default" w:ascii="Times New Roman" w:hAnsi="Times New Roman" w:eastAsia="宋体" w:cs="Times New Roman"/>
                <w:color w:val="auto"/>
                <w:sz w:val="24"/>
                <w:szCs w:val="22"/>
                <w:highlight w:val="none"/>
                <w:vertAlign w:val="subscript"/>
              </w:rPr>
              <w:t>2.5</w:t>
            </w:r>
            <w:r>
              <w:rPr>
                <w:rFonts w:hint="default" w:ascii="Times New Roman" w:hAnsi="Times New Roman" w:eastAsia="宋体" w:cs="Times New Roman"/>
                <w:color w:val="auto"/>
                <w:sz w:val="24"/>
                <w:szCs w:val="22"/>
                <w:highlight w:val="none"/>
              </w:rPr>
              <w:t>和臭氧协同控制，推进区域联防联控，提高大气污染精细化防控能力。</w:t>
            </w:r>
          </w:p>
          <w:p>
            <w:pPr>
              <w:pStyle w:val="53"/>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分阶段战略：到 2025 年，实施清洁能源利用，优化能源结构。推进低 VOCs含量原辅料替代。大幅度提升新能源汽车特别是电动车比例。升级工艺技术，优化工艺流程，提高各行业清洁生产水平。实现 PM</w:t>
            </w:r>
            <w:r>
              <w:rPr>
                <w:rFonts w:hint="default" w:ascii="Times New Roman" w:hAnsi="Times New Roman" w:eastAsia="宋体" w:cs="Times New Roman"/>
                <w:color w:val="auto"/>
                <w:sz w:val="24"/>
                <w:highlight w:val="none"/>
                <w:vertAlign w:val="subscript"/>
              </w:rPr>
              <w:t>2.5</w:t>
            </w:r>
            <w:r>
              <w:rPr>
                <w:rFonts w:hint="default" w:ascii="Times New Roman" w:hAnsi="Times New Roman" w:eastAsia="宋体" w:cs="Times New Roman"/>
                <w:color w:val="auto"/>
                <w:sz w:val="24"/>
                <w:highlight w:val="none"/>
              </w:rPr>
              <w:t>和臭氧的协调控制。</w:t>
            </w:r>
          </w:p>
          <w:p>
            <w:pPr>
              <w:adjustRightInd w:val="0"/>
              <w:snapToGrid w:val="0"/>
              <w:spacing w:line="500" w:lineRule="exact"/>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2、地表水环境</w:t>
            </w:r>
          </w:p>
          <w:p>
            <w:pPr>
              <w:widowControl/>
              <w:adjustRightInd w:val="0"/>
              <w:snapToGrid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根据《2021年度无锡市生态环境状况公报》，2021年，全市地表水环境质量达 “十三五”以来最优，国省考断面优Ⅲ比例达到年度考核目标，国省考断面、主要入江支流和出入湖河流全面消除劣Ⅴ类，太湖连续14年实现“两个确保”。</w:t>
            </w:r>
          </w:p>
          <w:p>
            <w:pPr>
              <w:widowControl/>
              <w:adjustRightInd w:val="0"/>
              <w:snapToGrid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纳入“十四五”水环境质量目标考核的25个地表水断面中，年均水质达到或优于《地表水环境质量标准》（GB 3838-2002）Ⅲ类标准的断面比例为80.0%，同比达到或优于Ⅲ类断面比例上升10.8 个百分点，无劣Ⅴ类断面，达到年度考核目标。</w:t>
            </w:r>
          </w:p>
          <w:p>
            <w:pPr>
              <w:widowControl/>
              <w:adjustRightInd w:val="0"/>
              <w:snapToGrid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纳入江苏省“十四五”水环境质量目标考核的71 个断面中，年均水质达到或优于Ⅲ类标准的断面比例为93.0%，同比达到或优于Ⅲ类断面比例上升7.0 个百分点，无劣Ⅴ类断面，达到年度考核目标。</w:t>
            </w:r>
          </w:p>
          <w:p>
            <w:pPr>
              <w:pStyle w:val="53"/>
              <w:keepNext w:val="0"/>
              <w:keepLines w:val="0"/>
              <w:pageBreakBefore w:val="0"/>
              <w:kinsoku/>
              <w:wordWrap/>
              <w:overflowPunct/>
              <w:topLinePunct w:val="0"/>
              <w:bidi w:val="0"/>
              <w:adjustRightInd/>
              <w:snapToGrid/>
              <w:spacing w:line="500" w:lineRule="exact"/>
              <w:ind w:firstLine="48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本项目废水接入</w:t>
            </w:r>
            <w:r>
              <w:rPr>
                <w:rFonts w:hint="default" w:ascii="Times New Roman" w:hAnsi="Times New Roman" w:eastAsia="宋体" w:cs="Times New Roman"/>
                <w:color w:val="auto"/>
                <w:sz w:val="24"/>
                <w:highlight w:val="none"/>
                <w:lang w:val="en-US" w:eastAsia="zh-CN"/>
              </w:rPr>
              <w:t>新城</w:t>
            </w:r>
            <w:r>
              <w:rPr>
                <w:rFonts w:hint="default" w:ascii="Times New Roman" w:hAnsi="Times New Roman" w:eastAsia="宋体" w:cs="Times New Roman"/>
                <w:color w:val="auto"/>
                <w:sz w:val="24"/>
                <w:highlight w:val="none"/>
              </w:rPr>
              <w:t>水处理厂，尾水排入江南运河。</w:t>
            </w:r>
            <w:r>
              <w:rPr>
                <w:rFonts w:hint="default" w:ascii="Times New Roman" w:hAnsi="Times New Roman" w:eastAsia="宋体" w:cs="Times New Roman"/>
                <w:color w:val="auto"/>
                <w:kern w:val="0"/>
                <w:sz w:val="24"/>
                <w:szCs w:val="21"/>
                <w:highlight w:val="none"/>
              </w:rPr>
              <w:t>本报告引用</w:t>
            </w:r>
            <w:r>
              <w:rPr>
                <w:rFonts w:hint="default" w:ascii="Times New Roman" w:hAnsi="Times New Roman" w:eastAsia="宋体" w:cs="Times New Roman"/>
                <w:bCs/>
                <w:color w:val="auto"/>
                <w:sz w:val="24"/>
                <w:highlight w:val="none"/>
              </w:rPr>
              <w:t>无锡环净检测技术有限公司出具的检测报告（报告编号：（2020）环检（ZH）字第（145）号）中新城水处理厂纳污河道（江南运河）排污口上游500米和下游1000米处的检测数据，检测采样时间为2020年11月12日～11月14日。</w:t>
            </w:r>
          </w:p>
          <w:p>
            <w:pPr>
              <w:keepNext w:val="0"/>
              <w:keepLines w:val="0"/>
              <w:pageBreakBefore w:val="0"/>
              <w:kinsoku/>
              <w:wordWrap/>
              <w:overflowPunct/>
              <w:topLinePunct w:val="0"/>
              <w:autoSpaceDE w:val="0"/>
              <w:autoSpaceDN w:val="0"/>
              <w:bidi w:val="0"/>
              <w:adjustRightInd/>
              <w:snapToGrid/>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对于检测结果采用单项水质参数评价法进行评价，一般水质评价因子的污染指数计算公式为： </w:t>
            </w:r>
          </w:p>
          <w:p>
            <w:pPr>
              <w:autoSpaceDE w:val="0"/>
              <w:autoSpaceDN w:val="0"/>
              <w:spacing w:line="360" w:lineRule="auto"/>
              <w:ind w:firstLine="56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position w:val="-30"/>
                <w:sz w:val="24"/>
                <w:highlight w:val="none"/>
              </w:rPr>
              <w:object>
                <v:shape id="_x0000_i1031" o:spt="75" type="#_x0000_t75" style="height:33.9pt;width:42.6pt;" o:ole="t" filled="f" o:preferrelative="t" stroked="f" coordsize="21600,21600">
                  <v:path/>
                  <v:fill on="f" focussize="0,0"/>
                  <v:stroke on="f"/>
                  <v:imagedata r:id="rId29" o:title=""/>
                  <o:lock v:ext="edit" grouping="f" rotation="f" text="f" aspectratio="t"/>
                  <w10:wrap type="none"/>
                  <w10:anchorlock/>
                </v:shape>
                <o:OLEObject Type="Embed" ProgID="Equation.KSEE3" ShapeID="_x0000_i1031" DrawAspect="Content" ObjectID="_1468075731" r:id="rId28">
                  <o:LockedField>false</o:LockedField>
                </o:OLEObject>
              </w:object>
            </w:r>
          </w:p>
          <w:p>
            <w:pPr>
              <w:autoSpaceDE w:val="0"/>
              <w:autoSpaceDN w:val="0"/>
              <w:spacing w:line="360" w:lineRule="auto"/>
              <w:ind w:firstLine="56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i/>
                <w:color w:val="auto"/>
                <w:sz w:val="24"/>
                <w:highlight w:val="none"/>
              </w:rPr>
              <w:t>P</w:t>
            </w:r>
            <w:r>
              <w:rPr>
                <w:rFonts w:hint="default" w:ascii="Times New Roman" w:hAnsi="Times New Roman" w:eastAsia="宋体" w:cs="Times New Roman"/>
                <w:i/>
                <w:color w:val="auto"/>
                <w:position w:val="-10"/>
                <w:sz w:val="24"/>
                <w:highlight w:val="none"/>
                <w:vertAlign w:val="subscript"/>
              </w:rPr>
              <w:t>i</w:t>
            </w:r>
            <w:r>
              <w:rPr>
                <w:rFonts w:hint="default" w:ascii="Times New Roman" w:hAnsi="Times New Roman" w:eastAsia="宋体" w:cs="Times New Roman"/>
                <w:color w:val="auto"/>
                <w:sz w:val="24"/>
                <w:highlight w:val="none"/>
              </w:rPr>
              <w:t xml:space="preserve">—单项污染指数； </w:t>
            </w:r>
          </w:p>
          <w:p>
            <w:pPr>
              <w:autoSpaceDE w:val="0"/>
              <w:autoSpaceDN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i/>
                <w:color w:val="auto"/>
                <w:sz w:val="24"/>
                <w:highlight w:val="none"/>
              </w:rPr>
              <w:t xml:space="preserve">          C</w:t>
            </w:r>
            <w:r>
              <w:rPr>
                <w:rFonts w:hint="default" w:ascii="Times New Roman" w:hAnsi="Times New Roman" w:eastAsia="宋体" w:cs="Times New Roman"/>
                <w:i/>
                <w:color w:val="auto"/>
                <w:position w:val="-10"/>
                <w:sz w:val="24"/>
                <w:highlight w:val="none"/>
                <w:vertAlign w:val="subscript"/>
              </w:rPr>
              <w:t>i</w:t>
            </w:r>
            <w:r>
              <w:rPr>
                <w:rFonts w:hint="default" w:ascii="Times New Roman" w:hAnsi="Times New Roman" w:eastAsia="宋体" w:cs="Times New Roman"/>
                <w:color w:val="auto"/>
                <w:sz w:val="24"/>
                <w:highlight w:val="none"/>
              </w:rPr>
              <w:t xml:space="preserve">—实测值平均值，mg/L； </w:t>
            </w:r>
          </w:p>
          <w:p>
            <w:pPr>
              <w:autoSpaceDE w:val="0"/>
              <w:autoSpaceDN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i/>
                <w:color w:val="auto"/>
                <w:sz w:val="24"/>
                <w:highlight w:val="none"/>
              </w:rPr>
              <w:t xml:space="preserve">          C</w:t>
            </w:r>
            <w:r>
              <w:rPr>
                <w:rFonts w:hint="default" w:ascii="Times New Roman" w:hAnsi="Times New Roman" w:eastAsia="宋体" w:cs="Times New Roman"/>
                <w:i/>
                <w:color w:val="auto"/>
                <w:position w:val="-10"/>
                <w:sz w:val="24"/>
                <w:highlight w:val="none"/>
                <w:vertAlign w:val="subscript"/>
              </w:rPr>
              <w:t>si</w:t>
            </w:r>
            <w:r>
              <w:rPr>
                <w:rFonts w:hint="default" w:ascii="Times New Roman" w:hAnsi="Times New Roman" w:eastAsia="宋体" w:cs="Times New Roman"/>
                <w:color w:val="auto"/>
                <w:sz w:val="24"/>
                <w:highlight w:val="none"/>
              </w:rPr>
              <w:t xml:space="preserve">—标准值，mg/L。 </w:t>
            </w:r>
          </w:p>
          <w:p>
            <w:pPr>
              <w:autoSpaceDE w:val="0"/>
              <w:autoSpaceDN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其中：DO的评价指数为：</w:t>
            </w:r>
          </w:p>
          <w:p>
            <w:pPr>
              <w:autoSpaceDE w:val="0"/>
              <w:autoSpaceDN w:val="0"/>
              <w:spacing w:line="360" w:lineRule="auto"/>
              <w:rPr>
                <w:rFonts w:hint="default" w:ascii="Times New Roman" w:hAnsi="Times New Roman" w:eastAsia="宋体" w:cs="Times New Roman"/>
                <w:color w:val="auto"/>
                <w:sz w:val="24"/>
                <w:highlight w:val="none"/>
                <w:vertAlign w:val="subscript"/>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position w:val="-32"/>
                <w:sz w:val="24"/>
                <w:highlight w:val="none"/>
              </w:rPr>
              <w:object>
                <v:shape id="_x0000_i1032" o:spt="75" type="#_x0000_t75" style="height:39.05pt;width:103.45pt;" o:ole="t" filled="f" o:preferrelative="t" stroked="f" coordsize="21600,21600">
                  <v:path/>
                  <v:fill on="f" focussize="0,0"/>
                  <v:stroke on="f"/>
                  <v:imagedata r:id="rId31" o:title=""/>
                  <o:lock v:ext="edit" grouping="f" rotation="f" text="f" aspectratio="t"/>
                  <w10:wrap type="none"/>
                  <w10:anchorlock/>
                </v:shape>
                <o:OLEObject Type="Embed" ProgID="Equation.KSEE3" ShapeID="_x0000_i1032" DrawAspect="Content" ObjectID="_1468075732" r:id="rId30">
                  <o:LockedField>false</o:LockedField>
                </o:OLEObject>
              </w:object>
            </w:r>
            <w:r>
              <w:rPr>
                <w:rFonts w:hint="default" w:ascii="Times New Roman" w:hAnsi="Times New Roman" w:eastAsia="宋体" w:cs="Times New Roman"/>
                <w:color w:val="auto"/>
                <w:sz w:val="24"/>
                <w:highlight w:val="none"/>
              </w:rPr>
              <w:t xml:space="preserve"> ，   </w:t>
            </w:r>
            <w:r>
              <w:rPr>
                <w:rFonts w:hint="default" w:ascii="Times New Roman" w:hAnsi="Times New Roman" w:eastAsia="宋体" w:cs="Times New Roman"/>
                <w:i/>
                <w:color w:val="auto"/>
                <w:sz w:val="24"/>
                <w:highlight w:val="none"/>
              </w:rPr>
              <w:t>DO</w:t>
            </w:r>
            <w:r>
              <w:rPr>
                <w:rFonts w:hint="default" w:ascii="Times New Roman" w:hAnsi="Times New Roman" w:eastAsia="宋体" w:cs="Times New Roman"/>
                <w:i/>
                <w:color w:val="auto"/>
                <w:sz w:val="24"/>
                <w:highlight w:val="none"/>
                <w:vertAlign w:val="subscript"/>
              </w:rPr>
              <w:t>j</w:t>
            </w:r>
            <w:r>
              <w:rPr>
                <w:rFonts w:hint="default" w:ascii="Times New Roman" w:hAnsi="Times New Roman" w:eastAsia="宋体" w:cs="Times New Roman"/>
                <w:i/>
                <w:color w:val="auto"/>
                <w:sz w:val="24"/>
                <w:highlight w:val="none"/>
              </w:rPr>
              <w:t>≥DO</w:t>
            </w:r>
            <w:r>
              <w:rPr>
                <w:rFonts w:hint="default" w:ascii="Times New Roman" w:hAnsi="Times New Roman" w:eastAsia="宋体" w:cs="Times New Roman"/>
                <w:i/>
                <w:color w:val="auto"/>
                <w:sz w:val="24"/>
                <w:highlight w:val="none"/>
                <w:vertAlign w:val="subscript"/>
              </w:rPr>
              <w:t>s</w:t>
            </w:r>
          </w:p>
          <w:p>
            <w:pPr>
              <w:autoSpaceDE w:val="0"/>
              <w:autoSpaceDN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vertAlign w:val="subscript"/>
              </w:rPr>
              <w:t xml:space="preserve">               </w:t>
            </w:r>
            <w:r>
              <w:rPr>
                <w:rFonts w:hint="default" w:ascii="Times New Roman" w:hAnsi="Times New Roman" w:eastAsia="宋体" w:cs="Times New Roman"/>
                <w:color w:val="auto"/>
                <w:position w:val="-30"/>
                <w:sz w:val="24"/>
                <w:highlight w:val="none"/>
                <w:vertAlign w:val="subscript"/>
              </w:rPr>
              <w:object>
                <v:shape id="_x0000_i1033" o:spt="75" type="#_x0000_t75" style="height:35.15pt;width:94.6pt;" o:ole="t" filled="f" o:preferrelative="t" stroked="f" coordsize="21600,21600">
                  <v:path/>
                  <v:fill on="f" focussize="0,0"/>
                  <v:stroke on="f"/>
                  <v:imagedata r:id="rId33" o:title=""/>
                  <o:lock v:ext="edit" grouping="f" rotation="f" text="f" aspectratio="t"/>
                  <w10:wrap type="none"/>
                  <w10:anchorlock/>
                </v:shape>
                <o:OLEObject Type="Embed" ProgID="Equation.KSEE3" ShapeID="_x0000_i1033" DrawAspect="Content" ObjectID="_1468075733" r:id="rId32">
                  <o:LockedField>false</o:LockedField>
                </o:OLEObject>
              </w:object>
            </w:r>
            <w:r>
              <w:rPr>
                <w:rFonts w:hint="default" w:ascii="Times New Roman" w:hAnsi="Times New Roman" w:eastAsia="宋体" w:cs="Times New Roman"/>
                <w:color w:val="auto"/>
                <w:sz w:val="24"/>
                <w:highlight w:val="none"/>
                <w:vertAlign w:val="subscript"/>
              </w:rPr>
              <w:t xml:space="preserve">   </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i/>
                <w:color w:val="auto"/>
                <w:sz w:val="24"/>
                <w:highlight w:val="none"/>
              </w:rPr>
              <w:t xml:space="preserve">  DO</w:t>
            </w:r>
            <w:r>
              <w:rPr>
                <w:rFonts w:hint="default" w:ascii="Times New Roman" w:hAnsi="Times New Roman" w:eastAsia="宋体" w:cs="Times New Roman"/>
                <w:i/>
                <w:color w:val="auto"/>
                <w:sz w:val="24"/>
                <w:highlight w:val="none"/>
                <w:vertAlign w:val="subscript"/>
              </w:rPr>
              <w:t>j</w:t>
            </w:r>
            <w:r>
              <w:rPr>
                <w:rFonts w:hint="default" w:ascii="Times New Roman" w:hAnsi="Times New Roman" w:eastAsia="宋体" w:cs="Times New Roman"/>
                <w:i/>
                <w:color w:val="auto"/>
                <w:sz w:val="24"/>
                <w:highlight w:val="none"/>
              </w:rPr>
              <w:t>&lt;DO</w:t>
            </w:r>
            <w:r>
              <w:rPr>
                <w:rFonts w:hint="default" w:ascii="Times New Roman" w:hAnsi="Times New Roman" w:eastAsia="宋体" w:cs="Times New Roman"/>
                <w:i/>
                <w:color w:val="auto"/>
                <w:sz w:val="24"/>
                <w:highlight w:val="none"/>
                <w:vertAlign w:val="subscript"/>
              </w:rPr>
              <w:t>S</w:t>
            </w:r>
          </w:p>
          <w:p>
            <w:pPr>
              <w:autoSpaceDE w:val="0"/>
              <w:autoSpaceDN w:val="0"/>
              <w:spacing w:line="360" w:lineRule="auto"/>
              <w:ind w:firstLine="56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position w:val="-22"/>
                <w:sz w:val="24"/>
                <w:highlight w:val="none"/>
              </w:rPr>
              <w:object>
                <v:shape id="_x0000_i1034" o:spt="75" type="#_x0000_t75" style="height:25.95pt;width:105.95pt;" o:ole="t" filled="f" stroked="f" coordsize="21600,21600">
                  <v:path/>
                  <v:fill on="f" focussize="0,0"/>
                  <v:stroke on="f"/>
                  <v:imagedata r:id="rId35" o:title=""/>
                  <o:lock v:ext="edit" grouping="f" rotation="f" text="f" aspectratio="t"/>
                  <w10:wrap type="none"/>
                  <w10:anchorlock/>
                </v:shape>
                <o:OLEObject Type="Embed" ProgID="Equation.KSEE3" ShapeID="_x0000_i1034" DrawAspect="Content" ObjectID="_1468075734" r:id="rId34">
                  <o:LockedField>false</o:LockedField>
                </o:OLEObject>
              </w:object>
            </w:r>
          </w:p>
          <w:p>
            <w:pPr>
              <w:autoSpaceDE w:val="0"/>
              <w:autoSpaceDN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i/>
                <w:color w:val="auto"/>
                <w:sz w:val="24"/>
                <w:highlight w:val="none"/>
              </w:rPr>
              <w:t>S</w:t>
            </w:r>
            <w:r>
              <w:rPr>
                <w:rFonts w:hint="default" w:ascii="Times New Roman" w:hAnsi="Times New Roman" w:eastAsia="宋体" w:cs="Times New Roman"/>
                <w:i/>
                <w:color w:val="auto"/>
                <w:sz w:val="24"/>
                <w:highlight w:val="none"/>
                <w:vertAlign w:val="subscript"/>
              </w:rPr>
              <w:t>DO,j</w:t>
            </w:r>
            <w:r>
              <w:rPr>
                <w:rFonts w:hint="default" w:ascii="Times New Roman" w:hAnsi="Times New Roman" w:eastAsia="宋体" w:cs="Times New Roman"/>
                <w:color w:val="auto"/>
                <w:sz w:val="24"/>
                <w:highlight w:val="none"/>
              </w:rPr>
              <w:t>—第j个站位的DO评价指数；</w:t>
            </w:r>
          </w:p>
          <w:p>
            <w:pPr>
              <w:autoSpaceDE w:val="0"/>
              <w:autoSpaceDN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i/>
                <w:color w:val="auto"/>
                <w:sz w:val="24"/>
                <w:highlight w:val="none"/>
              </w:rPr>
              <w:t xml:space="preserve"> DO</w:t>
            </w:r>
            <w:r>
              <w:rPr>
                <w:rFonts w:hint="default" w:ascii="Times New Roman" w:hAnsi="Times New Roman" w:eastAsia="宋体" w:cs="Times New Roman"/>
                <w:i/>
                <w:color w:val="auto"/>
                <w:sz w:val="24"/>
                <w:highlight w:val="none"/>
                <w:vertAlign w:val="subscript"/>
              </w:rPr>
              <w:t>f</w:t>
            </w:r>
            <w:r>
              <w:rPr>
                <w:rFonts w:hint="default" w:ascii="Times New Roman" w:hAnsi="Times New Roman" w:eastAsia="宋体" w:cs="Times New Roman"/>
                <w:color w:val="auto"/>
                <w:sz w:val="24"/>
                <w:highlight w:val="none"/>
                <w:vertAlign w:val="subscript"/>
              </w:rPr>
              <w:t>——</w:t>
            </w:r>
            <w:r>
              <w:rPr>
                <w:rFonts w:hint="default" w:ascii="Times New Roman" w:hAnsi="Times New Roman" w:eastAsia="宋体" w:cs="Times New Roman"/>
                <w:color w:val="auto"/>
                <w:sz w:val="24"/>
                <w:highlight w:val="none"/>
              </w:rPr>
              <w:t>饱和溶解氧；</w:t>
            </w:r>
          </w:p>
          <w:p>
            <w:pPr>
              <w:autoSpaceDE w:val="0"/>
              <w:autoSpaceDN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i/>
                <w:color w:val="auto"/>
                <w:sz w:val="24"/>
                <w:highlight w:val="none"/>
              </w:rPr>
              <w:t xml:space="preserve"> DO</w:t>
            </w:r>
            <w:r>
              <w:rPr>
                <w:rFonts w:hint="default" w:ascii="Times New Roman" w:hAnsi="Times New Roman" w:eastAsia="宋体" w:cs="Times New Roman"/>
                <w:i/>
                <w:color w:val="auto"/>
                <w:sz w:val="24"/>
                <w:highlight w:val="none"/>
                <w:vertAlign w:val="subscript"/>
              </w:rPr>
              <w:t>S</w:t>
            </w:r>
            <w:r>
              <w:rPr>
                <w:rFonts w:hint="default" w:ascii="Times New Roman" w:hAnsi="Times New Roman" w:eastAsia="宋体" w:cs="Times New Roman"/>
                <w:color w:val="auto"/>
                <w:sz w:val="24"/>
                <w:highlight w:val="none"/>
              </w:rPr>
              <w:t>—地表水水质标准中的DO值；</w:t>
            </w:r>
          </w:p>
          <w:p>
            <w:pPr>
              <w:autoSpaceDE w:val="0"/>
              <w:autoSpaceDN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i/>
                <w:color w:val="auto"/>
                <w:sz w:val="24"/>
                <w:highlight w:val="none"/>
              </w:rPr>
              <w:t>DO</w:t>
            </w:r>
            <w:r>
              <w:rPr>
                <w:rFonts w:hint="default" w:ascii="Times New Roman" w:hAnsi="Times New Roman" w:eastAsia="宋体" w:cs="Times New Roman"/>
                <w:i/>
                <w:color w:val="auto"/>
                <w:sz w:val="24"/>
                <w:highlight w:val="none"/>
                <w:vertAlign w:val="subscript"/>
              </w:rPr>
              <w:t>j</w:t>
            </w:r>
            <w:r>
              <w:rPr>
                <w:rFonts w:hint="default" w:ascii="Times New Roman" w:hAnsi="Times New Roman" w:eastAsia="宋体" w:cs="Times New Roman"/>
                <w:color w:val="auto"/>
                <w:sz w:val="24"/>
                <w:highlight w:val="none"/>
              </w:rPr>
              <w:t>—第j个站位的DO监测值；</w:t>
            </w:r>
          </w:p>
          <w:p>
            <w:pPr>
              <w:autoSpaceDE w:val="0"/>
              <w:autoSpaceDN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pH的评价指数为：</w:t>
            </w:r>
          </w:p>
          <w:p>
            <w:pPr>
              <w:autoSpaceDE w:val="0"/>
              <w:autoSpaceDN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position w:val="-30"/>
                <w:sz w:val="24"/>
                <w:highlight w:val="none"/>
              </w:rPr>
              <w:object>
                <v:shape id="_x0000_i1035" o:spt="75" type="#_x0000_t75" style="height:36pt;width:92.95pt;" o:ole="t" filled="f" stroked="f" coordsize="21600,21600">
                  <v:path/>
                  <v:fill on="f" focussize="0,0"/>
                  <v:stroke on="f"/>
                  <v:imagedata r:id="rId37" o:title=""/>
                  <o:lock v:ext="edit" grouping="f" rotation="f" text="f" aspectratio="t"/>
                  <w10:wrap type="none"/>
                  <w10:anchorlock/>
                </v:shape>
                <o:OLEObject Type="Embed" ProgID="Equation.KSEE3" ShapeID="_x0000_i1035" DrawAspect="Content" ObjectID="_1468075735" r:id="rId36">
                  <o:LockedField>false</o:LockedField>
                </o:OLEObject>
              </w:objec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i/>
                <w:color w:val="auto"/>
                <w:sz w:val="24"/>
                <w:highlight w:val="none"/>
              </w:rPr>
              <w:t>PH</w:t>
            </w:r>
            <w:r>
              <w:rPr>
                <w:rFonts w:hint="default" w:ascii="Times New Roman" w:hAnsi="Times New Roman" w:eastAsia="宋体" w:cs="Times New Roman"/>
                <w:i/>
                <w:color w:val="auto"/>
                <w:sz w:val="24"/>
                <w:highlight w:val="none"/>
                <w:vertAlign w:val="subscript"/>
              </w:rPr>
              <w:t>j</w:t>
            </w:r>
            <w:r>
              <w:rPr>
                <w:rFonts w:hint="default" w:ascii="Times New Roman" w:hAnsi="Times New Roman" w:eastAsia="宋体" w:cs="Times New Roman"/>
                <w:i/>
                <w:color w:val="auto"/>
                <w:sz w:val="24"/>
                <w:highlight w:val="none"/>
              </w:rPr>
              <w:t>≤7.0</w:t>
            </w:r>
          </w:p>
          <w:p>
            <w:pPr>
              <w:autoSpaceDE w:val="0"/>
              <w:autoSpaceDN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position w:val="-30"/>
                <w:sz w:val="24"/>
                <w:highlight w:val="none"/>
              </w:rPr>
              <w:object>
                <v:shape id="_x0000_i1036" o:spt="75" type="#_x0000_t75" style="height:36pt;width:92.95pt;" o:ole="t" filled="f" stroked="f" coordsize="21600,21600">
                  <v:path/>
                  <v:fill on="f" focussize="0,0"/>
                  <v:stroke on="f"/>
                  <v:imagedata r:id="rId39" o:title=""/>
                  <o:lock v:ext="edit" grouping="f" rotation="f" text="f" aspectratio="t"/>
                  <w10:wrap type="none"/>
                  <w10:anchorlock/>
                </v:shape>
                <o:OLEObject Type="Embed" ProgID="Equation.KSEE3" ShapeID="_x0000_i1036" DrawAspect="Content" ObjectID="_1468075736" r:id="rId38">
                  <o:LockedField>false</o:LockedField>
                </o:OLEObject>
              </w:objec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i/>
                <w:color w:val="auto"/>
                <w:sz w:val="24"/>
                <w:highlight w:val="none"/>
              </w:rPr>
              <w:t>pH</w:t>
            </w:r>
            <w:r>
              <w:rPr>
                <w:rFonts w:hint="default" w:ascii="Times New Roman" w:hAnsi="Times New Roman" w:eastAsia="宋体" w:cs="Times New Roman"/>
                <w:i/>
                <w:color w:val="auto"/>
                <w:sz w:val="24"/>
                <w:highlight w:val="none"/>
                <w:vertAlign w:val="subscript"/>
              </w:rPr>
              <w:t>j</w:t>
            </w:r>
            <w:r>
              <w:rPr>
                <w:rFonts w:hint="default" w:ascii="Times New Roman" w:hAnsi="Times New Roman" w:eastAsia="宋体" w:cs="Times New Roman"/>
                <w:i/>
                <w:color w:val="auto"/>
                <w:sz w:val="24"/>
                <w:highlight w:val="none"/>
              </w:rPr>
              <w:t>&gt;7.0</w:t>
            </w:r>
          </w:p>
          <w:p>
            <w:pPr>
              <w:autoSpaceDE w:val="0"/>
              <w:autoSpaceDN w:val="0"/>
              <w:spacing w:line="500" w:lineRule="exact"/>
              <w:ind w:firstLine="56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i/>
                <w:color w:val="auto"/>
                <w:sz w:val="24"/>
                <w:highlight w:val="none"/>
              </w:rPr>
              <w:t>S</w:t>
            </w:r>
            <w:r>
              <w:rPr>
                <w:rFonts w:hint="default" w:ascii="Times New Roman" w:hAnsi="Times New Roman" w:eastAsia="宋体" w:cs="Times New Roman"/>
                <w:i/>
                <w:color w:val="auto"/>
                <w:sz w:val="24"/>
                <w:highlight w:val="none"/>
                <w:vertAlign w:val="subscript"/>
              </w:rPr>
              <w:t>pH，j</w:t>
            </w:r>
            <w:r>
              <w:rPr>
                <w:rFonts w:hint="default" w:ascii="Times New Roman" w:hAnsi="Times New Roman" w:eastAsia="宋体" w:cs="Times New Roman"/>
                <w:color w:val="auto"/>
                <w:sz w:val="24"/>
                <w:highlight w:val="none"/>
              </w:rPr>
              <w:t>—第j个站位的pH值评价指数；</w:t>
            </w:r>
          </w:p>
          <w:p>
            <w:pPr>
              <w:autoSpaceDE w:val="0"/>
              <w:autoSpaceDN w:val="0"/>
              <w:spacing w:line="500" w:lineRule="exact"/>
              <w:ind w:firstLine="1400"/>
              <w:rPr>
                <w:rFonts w:hint="default" w:ascii="Times New Roman" w:hAnsi="Times New Roman" w:eastAsia="宋体" w:cs="Times New Roman"/>
                <w:color w:val="auto"/>
                <w:sz w:val="24"/>
                <w:highlight w:val="none"/>
              </w:rPr>
            </w:pPr>
            <w:r>
              <w:rPr>
                <w:rFonts w:hint="default" w:ascii="Times New Roman" w:hAnsi="Times New Roman" w:eastAsia="宋体" w:cs="Times New Roman"/>
                <w:i/>
                <w:color w:val="auto"/>
                <w:sz w:val="24"/>
                <w:highlight w:val="none"/>
              </w:rPr>
              <w:t>pH</w:t>
            </w:r>
            <w:r>
              <w:rPr>
                <w:rFonts w:hint="default" w:ascii="Times New Roman" w:hAnsi="Times New Roman" w:eastAsia="宋体" w:cs="Times New Roman"/>
                <w:i/>
                <w:color w:val="auto"/>
                <w:sz w:val="24"/>
                <w:highlight w:val="none"/>
                <w:vertAlign w:val="subscript"/>
              </w:rPr>
              <w:t xml:space="preserve">j </w:t>
            </w:r>
            <w:r>
              <w:rPr>
                <w:rFonts w:hint="default" w:ascii="Times New Roman" w:hAnsi="Times New Roman" w:eastAsia="宋体" w:cs="Times New Roman"/>
                <w:color w:val="auto"/>
                <w:sz w:val="24"/>
                <w:highlight w:val="none"/>
              </w:rPr>
              <w:t xml:space="preserve">— 第j个站位的pH监测值 </w:t>
            </w:r>
          </w:p>
          <w:p>
            <w:pPr>
              <w:autoSpaceDE w:val="0"/>
              <w:autoSpaceDN w:val="0"/>
              <w:spacing w:line="500" w:lineRule="exact"/>
              <w:ind w:firstLine="1400"/>
              <w:rPr>
                <w:rFonts w:hint="default" w:ascii="Times New Roman" w:hAnsi="Times New Roman" w:eastAsia="宋体" w:cs="Times New Roman"/>
                <w:color w:val="auto"/>
                <w:sz w:val="24"/>
                <w:highlight w:val="none"/>
              </w:rPr>
            </w:pPr>
            <w:r>
              <w:rPr>
                <w:rFonts w:hint="default" w:ascii="Times New Roman" w:hAnsi="Times New Roman" w:eastAsia="宋体" w:cs="Times New Roman"/>
                <w:i/>
                <w:color w:val="auto"/>
                <w:sz w:val="24"/>
                <w:highlight w:val="none"/>
              </w:rPr>
              <w:t>pH</w:t>
            </w:r>
            <w:r>
              <w:rPr>
                <w:rFonts w:hint="default" w:ascii="Times New Roman" w:hAnsi="Times New Roman" w:eastAsia="宋体" w:cs="Times New Roman"/>
                <w:i/>
                <w:color w:val="auto"/>
                <w:position w:val="-10"/>
                <w:sz w:val="24"/>
                <w:highlight w:val="none"/>
                <w:vertAlign w:val="subscript"/>
              </w:rPr>
              <w:t xml:space="preserve">sd </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i/>
                <w:color w:val="auto"/>
                <w:sz w:val="24"/>
                <w:highlight w:val="none"/>
              </w:rPr>
              <w:t>pH</w:t>
            </w:r>
            <w:r>
              <w:rPr>
                <w:rFonts w:hint="default" w:ascii="Times New Roman" w:hAnsi="Times New Roman" w:eastAsia="宋体" w:cs="Times New Roman"/>
                <w:color w:val="auto"/>
                <w:sz w:val="24"/>
                <w:highlight w:val="none"/>
              </w:rPr>
              <w:t xml:space="preserve">标准值的下限值； </w:t>
            </w:r>
          </w:p>
          <w:p>
            <w:pPr>
              <w:autoSpaceDE w:val="0"/>
              <w:autoSpaceDN w:val="0"/>
              <w:spacing w:line="500" w:lineRule="exact"/>
              <w:ind w:firstLine="1400"/>
              <w:rPr>
                <w:rFonts w:hint="default" w:ascii="Times New Roman" w:hAnsi="Times New Roman" w:eastAsia="宋体" w:cs="Times New Roman"/>
                <w:color w:val="auto"/>
                <w:sz w:val="24"/>
                <w:highlight w:val="none"/>
              </w:rPr>
            </w:pPr>
            <w:r>
              <w:rPr>
                <w:rFonts w:hint="default" w:ascii="Times New Roman" w:hAnsi="Times New Roman" w:eastAsia="宋体" w:cs="Times New Roman"/>
                <w:i/>
                <w:color w:val="auto"/>
                <w:sz w:val="24"/>
                <w:highlight w:val="none"/>
              </w:rPr>
              <w:t>pH</w:t>
            </w:r>
            <w:r>
              <w:rPr>
                <w:rFonts w:hint="default" w:ascii="Times New Roman" w:hAnsi="Times New Roman" w:eastAsia="宋体" w:cs="Times New Roman"/>
                <w:i/>
                <w:color w:val="auto"/>
                <w:position w:val="-10"/>
                <w:sz w:val="24"/>
                <w:highlight w:val="none"/>
                <w:vertAlign w:val="subscript"/>
              </w:rPr>
              <w:t>su</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i/>
                <w:color w:val="auto"/>
                <w:sz w:val="24"/>
                <w:highlight w:val="none"/>
              </w:rPr>
              <w:t>pH</w:t>
            </w:r>
            <w:r>
              <w:rPr>
                <w:rFonts w:hint="default" w:ascii="Times New Roman" w:hAnsi="Times New Roman" w:eastAsia="宋体" w:cs="Times New Roman"/>
                <w:color w:val="auto"/>
                <w:sz w:val="24"/>
                <w:highlight w:val="none"/>
              </w:rPr>
              <w:t>标准值的上限值；</w:t>
            </w:r>
          </w:p>
          <w:p>
            <w:pPr>
              <w:pStyle w:val="53"/>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水质参数标准化指数&gt;1，表明该水质参数超过规定的水质标准，已经不能满足使用要求。</w:t>
            </w:r>
          </w:p>
          <w:p>
            <w:pPr>
              <w:pStyle w:val="53"/>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检测及评价结果详见下表3-</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pPr>
              <w:pStyle w:val="58"/>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snapToGrid w:val="0"/>
                <w:color w:val="auto"/>
                <w:kern w:val="0"/>
                <w:sz w:val="24"/>
                <w:highlight w:val="none"/>
              </w:rPr>
              <w:t>表3-</w:t>
            </w:r>
            <w:r>
              <w:rPr>
                <w:rFonts w:hint="eastAsia" w:ascii="Times New Roman" w:hAnsi="Times New Roman" w:eastAsia="宋体" w:cs="Times New Roman"/>
                <w:b/>
                <w:snapToGrid w:val="0"/>
                <w:color w:val="auto"/>
                <w:kern w:val="0"/>
                <w:sz w:val="24"/>
                <w:highlight w:val="none"/>
                <w:lang w:val="en-US" w:eastAsia="zh-CN"/>
              </w:rPr>
              <w:t>2</w:t>
            </w:r>
            <w:r>
              <w:rPr>
                <w:rFonts w:hint="default" w:ascii="Times New Roman" w:hAnsi="Times New Roman" w:eastAsia="宋体" w:cs="Times New Roman"/>
                <w:b/>
                <w:snapToGrid w:val="0"/>
                <w:color w:val="auto"/>
                <w:kern w:val="0"/>
                <w:sz w:val="24"/>
                <w:highlight w:val="none"/>
              </w:rPr>
              <w:t xml:space="preserve">   </w:t>
            </w:r>
            <w:r>
              <w:rPr>
                <w:rFonts w:hint="default" w:ascii="Times New Roman" w:hAnsi="Times New Roman" w:eastAsia="宋体" w:cs="Times New Roman"/>
                <w:bCs/>
                <w:color w:val="auto"/>
                <w:sz w:val="24"/>
                <w:szCs w:val="24"/>
                <w:highlight w:val="none"/>
              </w:rPr>
              <w:t>地表水环境质量监测资料结果统计</w:t>
            </w:r>
          </w:p>
          <w:tbl>
            <w:tblPr>
              <w:tblStyle w:val="2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779"/>
              <w:gridCol w:w="1209"/>
              <w:gridCol w:w="1522"/>
              <w:gridCol w:w="1437"/>
              <w:gridCol w:w="15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1" w:type="pct"/>
                  <w:vMerge w:val="restart"/>
                  <w:noWrap w:val="0"/>
                  <w:vAlign w:val="center"/>
                </w:tcPr>
                <w:p>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监测项目</w:t>
                  </w:r>
                </w:p>
              </w:tc>
              <w:tc>
                <w:tcPr>
                  <w:tcW w:w="1728" w:type="pct"/>
                  <w:gridSpan w:val="2"/>
                  <w:noWrap w:val="0"/>
                  <w:vAlign w:val="center"/>
                </w:tcPr>
                <w:p>
                  <w:pPr>
                    <w:autoSpaceDN w:val="0"/>
                    <w:snapToGrid w:val="0"/>
                    <w:jc w:val="center"/>
                    <w:textAlignment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W1</w:t>
                  </w:r>
                </w:p>
              </w:tc>
              <w:tc>
                <w:tcPr>
                  <w:tcW w:w="1711" w:type="pct"/>
                  <w:gridSpan w:val="2"/>
                  <w:noWrap w:val="0"/>
                  <w:vAlign w:val="center"/>
                </w:tcPr>
                <w:p>
                  <w:pPr>
                    <w:autoSpaceDN w:val="0"/>
                    <w:snapToGrid w:val="0"/>
                    <w:jc w:val="center"/>
                    <w:textAlignment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W2</w:t>
                  </w:r>
                </w:p>
              </w:tc>
              <w:tc>
                <w:tcPr>
                  <w:tcW w:w="898" w:type="pct"/>
                  <w:vMerge w:val="restart"/>
                  <w:noWrap w:val="0"/>
                  <w:vAlign w:val="center"/>
                </w:tcPr>
                <w:p>
                  <w:pPr>
                    <w:autoSpaceDN w:val="0"/>
                    <w:snapToGrid w:val="0"/>
                    <w:jc w:val="center"/>
                    <w:textAlignment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执行标准（mg/l）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1" w:type="pct"/>
                  <w:vMerge w:val="continue"/>
                  <w:noWrap w:val="0"/>
                  <w:vAlign w:val="center"/>
                </w:tcPr>
                <w:p>
                  <w:pPr>
                    <w:snapToGrid w:val="0"/>
                    <w:jc w:val="center"/>
                    <w:rPr>
                      <w:rFonts w:hint="default" w:ascii="Times New Roman" w:hAnsi="Times New Roman" w:eastAsia="宋体" w:cs="Times New Roman"/>
                      <w:b/>
                      <w:color w:val="auto"/>
                      <w:szCs w:val="21"/>
                      <w:highlight w:val="none"/>
                    </w:rPr>
                  </w:pPr>
                </w:p>
              </w:tc>
              <w:tc>
                <w:tcPr>
                  <w:tcW w:w="1029" w:type="pct"/>
                  <w:noWrap w:val="0"/>
                  <w:vAlign w:val="center"/>
                </w:tcPr>
                <w:p>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监测值（mg/l）</w:t>
                  </w:r>
                </w:p>
              </w:tc>
              <w:tc>
                <w:tcPr>
                  <w:tcW w:w="699" w:type="pct"/>
                  <w:noWrap w:val="0"/>
                  <w:vAlign w:val="center"/>
                </w:tcPr>
                <w:p>
                  <w:pPr>
                    <w:autoSpaceDN w:val="0"/>
                    <w:snapToGrid w:val="0"/>
                    <w:jc w:val="center"/>
                    <w:textAlignment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最大指数</w:t>
                  </w:r>
                </w:p>
              </w:tc>
              <w:tc>
                <w:tcPr>
                  <w:tcW w:w="880" w:type="pct"/>
                  <w:noWrap w:val="0"/>
                  <w:vAlign w:val="center"/>
                </w:tcPr>
                <w:p>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监测值（mg/l）</w:t>
                  </w:r>
                </w:p>
              </w:tc>
              <w:tc>
                <w:tcPr>
                  <w:tcW w:w="830" w:type="pct"/>
                  <w:noWrap w:val="0"/>
                  <w:vAlign w:val="center"/>
                </w:tcPr>
                <w:p>
                  <w:pPr>
                    <w:autoSpaceDN w:val="0"/>
                    <w:snapToGrid w:val="0"/>
                    <w:jc w:val="center"/>
                    <w:textAlignment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最大指数</w:t>
                  </w:r>
                </w:p>
              </w:tc>
              <w:tc>
                <w:tcPr>
                  <w:tcW w:w="898" w:type="pct"/>
                  <w:vMerge w:val="continue"/>
                  <w:noWrap w:val="0"/>
                  <w:vAlign w:val="center"/>
                </w:tcPr>
                <w:p>
                  <w:pPr>
                    <w:autoSpaceDN w:val="0"/>
                    <w:snapToGrid w:val="0"/>
                    <w:jc w:val="center"/>
                    <w:textAlignment w:val="center"/>
                    <w:rPr>
                      <w:rFonts w:hint="default" w:ascii="Times New Roman" w:hAnsi="Times New Roman" w:eastAsia="宋体" w:cs="Times New Roman"/>
                      <w:b/>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1"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pH</w:t>
                  </w:r>
                </w:p>
              </w:tc>
              <w:tc>
                <w:tcPr>
                  <w:tcW w:w="1029"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7.45-7.84</w:t>
                  </w:r>
                </w:p>
              </w:tc>
              <w:tc>
                <w:tcPr>
                  <w:tcW w:w="699"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880"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7.5-7.59</w:t>
                  </w:r>
                </w:p>
              </w:tc>
              <w:tc>
                <w:tcPr>
                  <w:tcW w:w="830"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898"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1"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化学需氧量</w:t>
                  </w:r>
                </w:p>
              </w:tc>
              <w:tc>
                <w:tcPr>
                  <w:tcW w:w="1029"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10-15</w:t>
                  </w:r>
                </w:p>
              </w:tc>
              <w:tc>
                <w:tcPr>
                  <w:tcW w:w="699"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880"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10-16</w:t>
                  </w:r>
                </w:p>
              </w:tc>
              <w:tc>
                <w:tcPr>
                  <w:tcW w:w="830"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w:t>
                  </w:r>
                </w:p>
              </w:tc>
              <w:tc>
                <w:tcPr>
                  <w:tcW w:w="898"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1"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氨氮</w:t>
                  </w:r>
                </w:p>
              </w:tc>
              <w:tc>
                <w:tcPr>
                  <w:tcW w:w="1029"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0.174-0.68</w:t>
                  </w:r>
                </w:p>
              </w:tc>
              <w:tc>
                <w:tcPr>
                  <w:tcW w:w="699"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0.68</w:t>
                  </w:r>
                </w:p>
              </w:tc>
              <w:tc>
                <w:tcPr>
                  <w:tcW w:w="880"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0.139-0.58</w:t>
                  </w:r>
                </w:p>
              </w:tc>
              <w:tc>
                <w:tcPr>
                  <w:tcW w:w="830"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0.58</w:t>
                  </w:r>
                </w:p>
              </w:tc>
              <w:tc>
                <w:tcPr>
                  <w:tcW w:w="898"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1"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总磷</w:t>
                  </w:r>
                </w:p>
              </w:tc>
              <w:tc>
                <w:tcPr>
                  <w:tcW w:w="1029"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0.14-0.17</w:t>
                  </w:r>
                </w:p>
              </w:tc>
              <w:tc>
                <w:tcPr>
                  <w:tcW w:w="699"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0.17</w:t>
                  </w:r>
                </w:p>
              </w:tc>
              <w:tc>
                <w:tcPr>
                  <w:tcW w:w="880"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0.16-0.19</w:t>
                  </w:r>
                </w:p>
              </w:tc>
              <w:tc>
                <w:tcPr>
                  <w:tcW w:w="830"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898" w:type="pct"/>
                  <w:noWrap w:val="0"/>
                  <w:vAlign w:val="center"/>
                </w:tcPr>
                <w:p>
                  <w:pPr>
                    <w:autoSpaceDN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0.3</w:t>
                  </w:r>
                </w:p>
              </w:tc>
            </w:tr>
          </w:tbl>
          <w:p>
            <w:pPr>
              <w:autoSpaceDE w:val="0"/>
              <w:autoSpaceDN w:val="0"/>
              <w:adjustRightInd w:val="0"/>
              <w:snapToGrid w:val="0"/>
              <w:spacing w:line="500" w:lineRule="exact"/>
              <w:ind w:firstLine="480" w:firstLineChars="200"/>
              <w:rPr>
                <w:rFonts w:hint="default" w:ascii="Times New Roman" w:hAnsi="Times New Roman" w:eastAsia="宋体" w:cs="Times New Roman"/>
                <w:snapToGrid w:val="0"/>
                <w:color w:val="auto"/>
                <w:kern w:val="0"/>
                <w:sz w:val="24"/>
                <w:szCs w:val="28"/>
                <w:highlight w:val="none"/>
              </w:rPr>
            </w:pPr>
            <w:r>
              <w:rPr>
                <w:rFonts w:hint="default" w:ascii="Times New Roman" w:hAnsi="Times New Roman" w:eastAsia="宋体" w:cs="Times New Roman"/>
                <w:color w:val="auto"/>
                <w:sz w:val="24"/>
                <w:highlight w:val="none"/>
              </w:rPr>
              <w:t>由上表可知，各监测断面各监测因子均满足《地表水环境质量标准》（GB3838-2002）Ⅳ类水质标准。</w:t>
            </w:r>
          </w:p>
          <w:p>
            <w:pPr>
              <w:adjustRightInd w:val="0"/>
              <w:snapToGrid w:val="0"/>
              <w:spacing w:line="500" w:lineRule="exact"/>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3、声环境</w:t>
            </w:r>
          </w:p>
          <w:p>
            <w:pPr>
              <w:pStyle w:val="53"/>
              <w:ind w:firstLine="480"/>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color w:val="auto"/>
                <w:sz w:val="24"/>
                <w:szCs w:val="24"/>
                <w:highlight w:val="none"/>
              </w:rPr>
              <w:t>根据《无锡市区声环境功能区划分调整方案》(锡政办发【2018】157号文件)，项目所在地区域声环境功能为3类区，执行《声环境质量标准》（GB3096-2008）中的3类标准。</w:t>
            </w:r>
            <w:r>
              <w:rPr>
                <w:rFonts w:hint="default" w:ascii="Times New Roman" w:hAnsi="Times New Roman" w:eastAsia="宋体" w:cs="Times New Roman"/>
                <w:color w:val="auto"/>
                <w:kern w:val="0"/>
                <w:sz w:val="24"/>
                <w:szCs w:val="21"/>
                <w:highlight w:val="none"/>
              </w:rPr>
              <w:t>根据《2021年度无锡市生态环境状况公报》，2021年度无锡市区环境噪声值昼间≤57dB(A)，达到《声环境质量标准》（GB3096-2008）表1中的3类标准要求，区域声环境质量状况良好。</w:t>
            </w:r>
          </w:p>
          <w:p>
            <w:pPr>
              <w:numPr>
                <w:ilvl w:val="0"/>
                <w:numId w:val="2"/>
              </w:numPr>
              <w:adjustRightInd w:val="0"/>
              <w:snapToGrid w:val="0"/>
              <w:spacing w:line="500" w:lineRule="exact"/>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生态环境</w:t>
            </w:r>
          </w:p>
          <w:p>
            <w:pPr>
              <w:adjustRightInd w:val="0"/>
              <w:snapToGrid w:val="0"/>
              <w:spacing w:line="500" w:lineRule="exact"/>
              <w:ind w:left="17" w:leftChars="8" w:firstLine="360" w:firstLineChars="150"/>
              <w:jc w:val="left"/>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 xml:space="preserve"> 本项目不涉及。</w:t>
            </w:r>
          </w:p>
          <w:p>
            <w:pPr>
              <w:numPr>
                <w:ilvl w:val="0"/>
                <w:numId w:val="2"/>
              </w:numPr>
              <w:adjustRightInd w:val="0"/>
              <w:snapToGrid w:val="0"/>
              <w:spacing w:line="500" w:lineRule="exact"/>
              <w:ind w:left="16" w:firstLine="0"/>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电磁辐射</w:t>
            </w:r>
          </w:p>
          <w:p>
            <w:pPr>
              <w:pStyle w:val="53"/>
              <w:ind w:left="16" w:firstLine="480"/>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color w:val="auto"/>
                <w:kern w:val="0"/>
                <w:sz w:val="24"/>
                <w:szCs w:val="21"/>
                <w:highlight w:val="none"/>
              </w:rPr>
              <w:t>本项目不涉及。</w:t>
            </w:r>
          </w:p>
          <w:p>
            <w:pPr>
              <w:numPr>
                <w:ilvl w:val="0"/>
                <w:numId w:val="2"/>
              </w:numPr>
              <w:adjustRightInd w:val="0"/>
              <w:snapToGrid w:val="0"/>
              <w:spacing w:line="500" w:lineRule="exact"/>
              <w:ind w:left="16" w:firstLine="0"/>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地下水、土壤环境</w:t>
            </w:r>
          </w:p>
          <w:p>
            <w:pPr>
              <w:adjustRightInd w:val="0"/>
              <w:snapToGrid w:val="0"/>
              <w:spacing w:line="500" w:lineRule="exact"/>
              <w:ind w:left="16" w:firstLine="480"/>
              <w:jc w:val="left"/>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（1）地下水环境</w:t>
            </w:r>
          </w:p>
          <w:p>
            <w:pPr>
              <w:adjustRightInd w:val="0"/>
              <w:snapToGrid w:val="0"/>
              <w:spacing w:line="500" w:lineRule="exact"/>
              <w:ind w:left="16" w:firstLine="480"/>
              <w:jc w:val="left"/>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本项目位于工业区，利用现有厂房进行生产，原料暂存区域、危废暂存区域等涉及物料泄漏的区域均做好防腐防渗措施，正常工况下不存在地下水环境污染途径，本报告不开展地下水环境现状监测。</w:t>
            </w:r>
          </w:p>
          <w:p>
            <w:pPr>
              <w:adjustRightInd w:val="0"/>
              <w:snapToGrid w:val="0"/>
              <w:spacing w:line="500" w:lineRule="exact"/>
              <w:ind w:left="16" w:firstLine="480"/>
              <w:jc w:val="left"/>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（2）土壤环境</w:t>
            </w:r>
          </w:p>
          <w:p>
            <w:pPr>
              <w:adjustRightInd w:val="0"/>
              <w:snapToGrid w:val="0"/>
              <w:spacing w:line="500" w:lineRule="exact"/>
              <w:ind w:left="16" w:firstLine="48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1"/>
                <w:highlight w:val="none"/>
              </w:rPr>
              <w:t>土壤环境污染途径包括大气沉降、地面漫流、垂直入渗。本项目位于工业园区内，液态物料仓库、废液仓库和涉及液态物料的生产区域均做好防腐防渗和放泄漏措施，正常情况下不存在地面漫流的情况和垂直入渗的污染途径，仅防腐防渗措施失效时泄漏事故状态下会有少量泄漏。本项目大气污染物主要为颗粒物，大气沉降对土壤环境基本无影响。因此本报告不开展土壤环境现状监测调查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415" w:type="dxa"/>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保护</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目标</w:t>
            </w:r>
          </w:p>
        </w:tc>
        <w:tc>
          <w:tcPr>
            <w:tcW w:w="8872" w:type="dxa"/>
            <w:noWrap w:val="0"/>
            <w:vAlign w:val="center"/>
          </w:tcPr>
          <w:p>
            <w:pPr>
              <w:numPr>
                <w:ilvl w:val="0"/>
                <w:numId w:val="9"/>
              </w:numPr>
              <w:adjustRightInd w:val="0"/>
              <w:snapToGrid w:val="0"/>
              <w:spacing w:line="440" w:lineRule="exact"/>
              <w:ind w:left="0"/>
              <w:jc w:val="left"/>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大气环境</w:t>
            </w:r>
          </w:p>
          <w:p>
            <w:pPr>
              <w:adjustRightInd w:val="0"/>
              <w:snapToGrid w:val="0"/>
              <w:spacing w:line="440" w:lineRule="exact"/>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经调查本项目周围500米范围内无大气环境保护目标。</w:t>
            </w:r>
          </w:p>
          <w:p>
            <w:pPr>
              <w:numPr>
                <w:ilvl w:val="0"/>
                <w:numId w:val="9"/>
              </w:numPr>
              <w:adjustRightInd w:val="0"/>
              <w:snapToGrid w:val="0"/>
              <w:spacing w:line="440" w:lineRule="exact"/>
              <w:ind w:left="0"/>
              <w:jc w:val="left"/>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声环境</w:t>
            </w:r>
          </w:p>
          <w:p>
            <w:pPr>
              <w:adjustRightInd w:val="0"/>
              <w:snapToGrid w:val="0"/>
              <w:spacing w:line="440" w:lineRule="exact"/>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经调查本项目周围50米单位内无声环境保护目标。</w:t>
            </w:r>
          </w:p>
          <w:p>
            <w:pPr>
              <w:numPr>
                <w:ilvl w:val="0"/>
                <w:numId w:val="9"/>
              </w:numPr>
              <w:adjustRightInd w:val="0"/>
              <w:snapToGrid w:val="0"/>
              <w:spacing w:line="440" w:lineRule="exact"/>
              <w:ind w:left="0"/>
              <w:jc w:val="left"/>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地下水环境</w:t>
            </w:r>
          </w:p>
          <w:p>
            <w:pPr>
              <w:adjustRightInd w:val="0"/>
              <w:snapToGrid w:val="0"/>
              <w:spacing w:line="440" w:lineRule="exact"/>
              <w:ind w:firstLine="468" w:firstLineChars="195"/>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xml:space="preserve">本项目所在区域不存在地下水资源的开采利用情况，经调查本项目厂界外500米范围内无地下水集中式饮用水水源和热水、矿泉水、温泉等特殊地下水资源。 </w:t>
            </w:r>
          </w:p>
          <w:p>
            <w:pPr>
              <w:numPr>
                <w:ilvl w:val="0"/>
                <w:numId w:val="9"/>
              </w:numPr>
              <w:adjustRightInd w:val="0"/>
              <w:snapToGrid w:val="0"/>
              <w:spacing w:line="440" w:lineRule="exact"/>
              <w:ind w:left="0"/>
              <w:jc w:val="left"/>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生态环境</w:t>
            </w:r>
          </w:p>
          <w:p>
            <w:pPr>
              <w:pStyle w:val="53"/>
              <w:spacing w:line="440" w:lineRule="exact"/>
              <w:ind w:firstLine="48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本项目位于工业区内，不涉及生态环境保护目标。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415" w:type="dxa"/>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污染</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物排</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放控</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制标</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准</w:t>
            </w:r>
          </w:p>
        </w:tc>
        <w:tc>
          <w:tcPr>
            <w:tcW w:w="8872" w:type="dxa"/>
            <w:noWrap w:val="0"/>
            <w:vAlign w:val="center"/>
          </w:tcPr>
          <w:p>
            <w:pPr>
              <w:adjustRightInd w:val="0"/>
              <w:snapToGrid w:val="0"/>
              <w:spacing w:line="440" w:lineRule="exact"/>
              <w:ind w:left="357"/>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1、环境质量标准</w:t>
            </w:r>
          </w:p>
          <w:p>
            <w:pPr>
              <w:adjustRightInd w:val="0"/>
              <w:snapToGrid w:val="0"/>
              <w:spacing w:line="440" w:lineRule="exact"/>
              <w:ind w:left="357"/>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（1）环境空气质量标准</w:t>
            </w:r>
          </w:p>
          <w:p>
            <w:pPr>
              <w:spacing w:line="44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SO</w:t>
            </w:r>
            <w:r>
              <w:rPr>
                <w:rFonts w:hint="default" w:ascii="Times New Roman" w:hAnsi="Times New Roman" w:eastAsia="宋体" w:cs="Times New Roman"/>
                <w:bCs/>
                <w:color w:val="auto"/>
                <w:sz w:val="24"/>
                <w:highlight w:val="none"/>
                <w:vertAlign w:val="subscript"/>
              </w:rPr>
              <w:t>2</w:t>
            </w:r>
            <w:r>
              <w:rPr>
                <w:rFonts w:hint="default" w:ascii="Times New Roman" w:hAnsi="Times New Roman" w:eastAsia="宋体" w:cs="Times New Roman"/>
                <w:bCs/>
                <w:color w:val="auto"/>
                <w:sz w:val="24"/>
                <w:highlight w:val="none"/>
              </w:rPr>
              <w:t>、NO</w:t>
            </w:r>
            <w:r>
              <w:rPr>
                <w:rFonts w:hint="default" w:ascii="Times New Roman" w:hAnsi="Times New Roman" w:eastAsia="宋体" w:cs="Times New Roman"/>
                <w:bCs/>
                <w:color w:val="auto"/>
                <w:sz w:val="24"/>
                <w:highlight w:val="none"/>
                <w:vertAlign w:val="subscript"/>
              </w:rPr>
              <w:t>2</w:t>
            </w:r>
            <w:r>
              <w:rPr>
                <w:rFonts w:hint="default" w:ascii="Times New Roman" w:hAnsi="Times New Roman" w:eastAsia="宋体" w:cs="Times New Roman"/>
                <w:bCs/>
                <w:color w:val="auto"/>
                <w:sz w:val="24"/>
                <w:highlight w:val="none"/>
              </w:rPr>
              <w:t>、PM</w:t>
            </w:r>
            <w:r>
              <w:rPr>
                <w:rFonts w:hint="default" w:ascii="Times New Roman" w:hAnsi="Times New Roman" w:eastAsia="宋体" w:cs="Times New Roman"/>
                <w:bCs/>
                <w:color w:val="auto"/>
                <w:sz w:val="24"/>
                <w:highlight w:val="none"/>
                <w:vertAlign w:val="subscript"/>
              </w:rPr>
              <w:t>10</w:t>
            </w:r>
            <w:r>
              <w:rPr>
                <w:rFonts w:hint="default" w:ascii="Times New Roman" w:hAnsi="Times New Roman" w:eastAsia="宋体" w:cs="Times New Roman"/>
                <w:bCs/>
                <w:color w:val="auto"/>
                <w:sz w:val="24"/>
                <w:highlight w:val="none"/>
              </w:rPr>
              <w:t>、O</w:t>
            </w:r>
            <w:r>
              <w:rPr>
                <w:rFonts w:hint="default" w:ascii="Times New Roman" w:hAnsi="Times New Roman" w:eastAsia="宋体" w:cs="Times New Roman"/>
                <w:bCs/>
                <w:color w:val="auto"/>
                <w:sz w:val="24"/>
                <w:highlight w:val="none"/>
                <w:vertAlign w:val="subscript"/>
              </w:rPr>
              <w:t>3</w:t>
            </w:r>
            <w:r>
              <w:rPr>
                <w:rFonts w:hint="default" w:ascii="Times New Roman" w:hAnsi="Times New Roman" w:eastAsia="宋体" w:cs="Times New Roman"/>
                <w:bCs/>
                <w:color w:val="auto"/>
                <w:sz w:val="24"/>
                <w:highlight w:val="none"/>
              </w:rPr>
              <w:t>、CO、PM</w:t>
            </w:r>
            <w:r>
              <w:rPr>
                <w:rFonts w:hint="default" w:ascii="Times New Roman" w:hAnsi="Times New Roman" w:eastAsia="宋体" w:cs="Times New Roman"/>
                <w:bCs/>
                <w:color w:val="auto"/>
                <w:sz w:val="24"/>
                <w:highlight w:val="none"/>
                <w:vertAlign w:val="subscript"/>
              </w:rPr>
              <w:t>2.5</w:t>
            </w:r>
            <w:r>
              <w:rPr>
                <w:rFonts w:hint="default" w:ascii="Times New Roman" w:hAnsi="Times New Roman" w:eastAsia="宋体" w:cs="Times New Roman"/>
                <w:bCs/>
                <w:color w:val="auto"/>
                <w:sz w:val="24"/>
                <w:highlight w:val="none"/>
              </w:rPr>
              <w:t>执行《环境空气质量标准》（GB3095-2012）中的二级标准。非甲烷总烃参照执行《大气污染物综合排放标准详解》中的推荐值：2.0mg/m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。详见表3-</w:t>
            </w:r>
            <w:r>
              <w:rPr>
                <w:rFonts w:hint="eastAsia"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p>
            <w:pPr>
              <w:spacing w:line="440" w:lineRule="exact"/>
              <w:ind w:left="422"/>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w:t>
            </w:r>
            <w:r>
              <w:rPr>
                <w:rFonts w:hint="eastAsia"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环境空气质量标准</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199"/>
              <w:gridCol w:w="1134"/>
              <w:gridCol w:w="709"/>
              <w:gridCol w:w="1418"/>
              <w:gridCol w:w="1275"/>
              <w:gridCol w:w="275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13" w:hRule="atLeast"/>
                <w:jc w:val="center"/>
              </w:trPr>
              <w:tc>
                <w:tcPr>
                  <w:tcW w:w="1199" w:type="dxa"/>
                  <w:vMerge w:val="restart"/>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污染物名称</w:t>
                  </w:r>
                </w:p>
              </w:tc>
              <w:tc>
                <w:tcPr>
                  <w:tcW w:w="4536" w:type="dxa"/>
                  <w:gridSpan w:val="4"/>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浓度限值</w:t>
                  </w:r>
                </w:p>
              </w:tc>
              <w:tc>
                <w:tcPr>
                  <w:tcW w:w="2758" w:type="dxa"/>
                  <w:vMerge w:val="restart"/>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14" w:hRule="atLeast"/>
                <w:jc w:val="center"/>
              </w:trPr>
              <w:tc>
                <w:tcPr>
                  <w:tcW w:w="1199" w:type="dxa"/>
                  <w:vMerge w:val="continue"/>
                  <w:noWrap w:val="0"/>
                  <w:vAlign w:val="center"/>
                </w:tcPr>
                <w:p>
                  <w:pPr>
                    <w:jc w:val="center"/>
                    <w:rPr>
                      <w:rFonts w:hint="default" w:ascii="Times New Roman" w:hAnsi="Times New Roman" w:eastAsia="宋体" w:cs="Times New Roman"/>
                      <w:b/>
                      <w:color w:val="auto"/>
                      <w:szCs w:val="21"/>
                      <w:highlight w:val="none"/>
                    </w:rPr>
                  </w:pPr>
                </w:p>
              </w:tc>
              <w:tc>
                <w:tcPr>
                  <w:tcW w:w="1134" w:type="dxa"/>
                  <w:tcBorders>
                    <w:right w:val="single" w:color="auto" w:sz="4" w:space="0"/>
                  </w:tcBorders>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单位</w:t>
                  </w:r>
                </w:p>
              </w:tc>
              <w:tc>
                <w:tcPr>
                  <w:tcW w:w="709" w:type="dxa"/>
                  <w:tcBorders>
                    <w:left w:val="single" w:color="auto" w:sz="4" w:space="0"/>
                  </w:tcBorders>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年平均</w:t>
                  </w:r>
                </w:p>
              </w:tc>
              <w:tc>
                <w:tcPr>
                  <w:tcW w:w="1418"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24小时平均</w:t>
                  </w:r>
                </w:p>
              </w:tc>
              <w:tc>
                <w:tcPr>
                  <w:tcW w:w="1275"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1小时平均</w:t>
                  </w:r>
                </w:p>
              </w:tc>
              <w:tc>
                <w:tcPr>
                  <w:tcW w:w="2758" w:type="dxa"/>
                  <w:vMerge w:val="continue"/>
                  <w:noWrap w:val="0"/>
                  <w:vAlign w:val="center"/>
                </w:tcPr>
                <w:p>
                  <w:pPr>
                    <w:jc w:val="center"/>
                    <w:rPr>
                      <w:rFonts w:hint="default" w:ascii="Times New Roman" w:hAnsi="Times New Roman" w:eastAsia="宋体" w:cs="Times New Roman"/>
                      <w:b/>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02" w:hRule="atLeast"/>
                <w:jc w:val="center"/>
              </w:trPr>
              <w:tc>
                <w:tcPr>
                  <w:tcW w:w="1199"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SO</w:t>
                  </w:r>
                  <w:r>
                    <w:rPr>
                      <w:rFonts w:hint="default" w:ascii="Times New Roman" w:hAnsi="Times New Roman" w:eastAsia="宋体" w:cs="Times New Roman"/>
                      <w:color w:val="auto"/>
                      <w:szCs w:val="21"/>
                      <w:highlight w:val="none"/>
                      <w:vertAlign w:val="subscript"/>
                    </w:rPr>
                    <w:t>2</w:t>
                  </w:r>
                </w:p>
              </w:tc>
              <w:tc>
                <w:tcPr>
                  <w:tcW w:w="1134" w:type="dxa"/>
                  <w:tcBorders>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highlight w:val="none"/>
                    </w:rPr>
                    <w:t>µg/m</w:t>
                  </w:r>
                  <w:r>
                    <w:rPr>
                      <w:rFonts w:hint="default" w:ascii="Times New Roman" w:hAnsi="Times New Roman" w:eastAsia="宋体" w:cs="Times New Roman"/>
                      <w:color w:val="auto"/>
                      <w:sz w:val="24"/>
                      <w:highlight w:val="none"/>
                      <w:vertAlign w:val="superscript"/>
                    </w:rPr>
                    <w:t>3</w:t>
                  </w:r>
                </w:p>
              </w:tc>
              <w:tc>
                <w:tcPr>
                  <w:tcW w:w="709" w:type="dxa"/>
                  <w:tcBorders>
                    <w:lef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60</w:t>
                  </w:r>
                </w:p>
              </w:tc>
              <w:tc>
                <w:tcPr>
                  <w:tcW w:w="141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150</w:t>
                  </w:r>
                </w:p>
              </w:tc>
              <w:tc>
                <w:tcPr>
                  <w:tcW w:w="127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500</w:t>
                  </w:r>
                </w:p>
              </w:tc>
              <w:tc>
                <w:tcPr>
                  <w:tcW w:w="2758" w:type="dxa"/>
                  <w:vMerge w:val="restar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《环境空气质量标准》（GB3095-2012）表1中的二级标准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06" w:hRule="atLeast"/>
                <w:jc w:val="center"/>
              </w:trPr>
              <w:tc>
                <w:tcPr>
                  <w:tcW w:w="1199" w:type="dxa"/>
                  <w:noWrap w:val="0"/>
                  <w:vAlign w:val="center"/>
                </w:tcPr>
                <w:p>
                  <w:pPr>
                    <w:jc w:val="center"/>
                    <w:rPr>
                      <w:rFonts w:hint="default" w:ascii="Times New Roman" w:hAnsi="Times New Roman" w:eastAsia="宋体" w:cs="Times New Roman"/>
                      <w:color w:val="auto"/>
                      <w:szCs w:val="21"/>
                      <w:highlight w:val="none"/>
                      <w:vertAlign w:val="subscript"/>
                    </w:rPr>
                  </w:pPr>
                  <w:r>
                    <w:rPr>
                      <w:rFonts w:hint="default" w:ascii="Times New Roman" w:hAnsi="Times New Roman" w:eastAsia="宋体" w:cs="Times New Roman"/>
                      <w:color w:val="auto"/>
                      <w:szCs w:val="21"/>
                      <w:highlight w:val="none"/>
                    </w:rPr>
                    <w:t>NO</w:t>
                  </w:r>
                  <w:r>
                    <w:rPr>
                      <w:rFonts w:hint="default" w:ascii="Times New Roman" w:hAnsi="Times New Roman" w:eastAsia="宋体" w:cs="Times New Roman"/>
                      <w:color w:val="auto"/>
                      <w:szCs w:val="21"/>
                      <w:highlight w:val="none"/>
                      <w:vertAlign w:val="subscript"/>
                    </w:rPr>
                    <w:t>2</w:t>
                  </w:r>
                </w:p>
              </w:tc>
              <w:tc>
                <w:tcPr>
                  <w:tcW w:w="1134" w:type="dxa"/>
                  <w:tcBorders>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highlight w:val="none"/>
                    </w:rPr>
                    <w:t>µg/m</w:t>
                  </w:r>
                  <w:r>
                    <w:rPr>
                      <w:rFonts w:hint="default" w:ascii="Times New Roman" w:hAnsi="Times New Roman" w:eastAsia="宋体" w:cs="Times New Roman"/>
                      <w:color w:val="auto"/>
                      <w:sz w:val="24"/>
                      <w:highlight w:val="none"/>
                      <w:vertAlign w:val="superscript"/>
                    </w:rPr>
                    <w:t>3</w:t>
                  </w:r>
                </w:p>
              </w:tc>
              <w:tc>
                <w:tcPr>
                  <w:tcW w:w="709" w:type="dxa"/>
                  <w:tcBorders>
                    <w:lef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w:t>
                  </w:r>
                </w:p>
              </w:tc>
              <w:tc>
                <w:tcPr>
                  <w:tcW w:w="141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w:t>
                  </w:r>
                </w:p>
              </w:tc>
              <w:tc>
                <w:tcPr>
                  <w:tcW w:w="127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p>
              </w:tc>
              <w:tc>
                <w:tcPr>
                  <w:tcW w:w="2758" w:type="dxa"/>
                  <w:vMerge w:val="continue"/>
                  <w:noWrap w:val="0"/>
                  <w:vAlign w:val="top"/>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196" w:hRule="atLeast"/>
                <w:jc w:val="center"/>
              </w:trPr>
              <w:tc>
                <w:tcPr>
                  <w:tcW w:w="1199"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PM</w:t>
                  </w:r>
                  <w:r>
                    <w:rPr>
                      <w:rFonts w:hint="default" w:ascii="Times New Roman" w:hAnsi="Times New Roman" w:eastAsia="宋体" w:cs="Times New Roman"/>
                      <w:color w:val="auto"/>
                      <w:szCs w:val="21"/>
                      <w:highlight w:val="none"/>
                      <w:vertAlign w:val="subscript"/>
                    </w:rPr>
                    <w:t>10</w:t>
                  </w:r>
                </w:p>
              </w:tc>
              <w:tc>
                <w:tcPr>
                  <w:tcW w:w="1134" w:type="dxa"/>
                  <w:tcBorders>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highlight w:val="none"/>
                    </w:rPr>
                    <w:t>µg/m</w:t>
                  </w:r>
                  <w:r>
                    <w:rPr>
                      <w:rFonts w:hint="default" w:ascii="Times New Roman" w:hAnsi="Times New Roman" w:eastAsia="宋体" w:cs="Times New Roman"/>
                      <w:color w:val="auto"/>
                      <w:sz w:val="24"/>
                      <w:highlight w:val="none"/>
                      <w:vertAlign w:val="superscript"/>
                    </w:rPr>
                    <w:t>3</w:t>
                  </w:r>
                </w:p>
              </w:tc>
              <w:tc>
                <w:tcPr>
                  <w:tcW w:w="709" w:type="dxa"/>
                  <w:tcBorders>
                    <w:lef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w:t>
                  </w:r>
                </w:p>
              </w:tc>
              <w:tc>
                <w:tcPr>
                  <w:tcW w:w="141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150</w:t>
                  </w:r>
                </w:p>
              </w:tc>
              <w:tc>
                <w:tcPr>
                  <w:tcW w:w="127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450*</w:t>
                  </w:r>
                </w:p>
              </w:tc>
              <w:tc>
                <w:tcPr>
                  <w:tcW w:w="2758" w:type="dxa"/>
                  <w:vMerge w:val="continue"/>
                  <w:noWrap w:val="0"/>
                  <w:vAlign w:val="top"/>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144" w:hRule="atLeast"/>
                <w:jc w:val="center"/>
              </w:trPr>
              <w:tc>
                <w:tcPr>
                  <w:tcW w:w="1199"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w:t>
                  </w:r>
                </w:p>
              </w:tc>
              <w:tc>
                <w:tcPr>
                  <w:tcW w:w="1134" w:type="dxa"/>
                  <w:tcBorders>
                    <w:right w:val="single" w:color="auto" w:sz="4" w:space="0"/>
                  </w:tcBorders>
                  <w:noWrap w:val="0"/>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p>
              </w:tc>
              <w:tc>
                <w:tcPr>
                  <w:tcW w:w="709" w:type="dxa"/>
                  <w:tcBorders>
                    <w:lef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41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127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2758" w:type="dxa"/>
                  <w:vMerge w:val="continue"/>
                  <w:noWrap w:val="0"/>
                  <w:vAlign w:val="top"/>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20" w:hRule="atLeast"/>
                <w:jc w:val="center"/>
              </w:trPr>
              <w:tc>
                <w:tcPr>
                  <w:tcW w:w="1199"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O</w:t>
                  </w:r>
                  <w:r>
                    <w:rPr>
                      <w:rFonts w:hint="default" w:ascii="Times New Roman" w:hAnsi="Times New Roman" w:eastAsia="宋体" w:cs="Times New Roman"/>
                      <w:color w:val="auto"/>
                      <w:szCs w:val="21"/>
                      <w:highlight w:val="none"/>
                      <w:vertAlign w:val="subscript"/>
                    </w:rPr>
                    <w:t>3</w:t>
                  </w:r>
                </w:p>
              </w:tc>
              <w:tc>
                <w:tcPr>
                  <w:tcW w:w="1134" w:type="dxa"/>
                  <w:tcBorders>
                    <w:right w:val="single" w:color="auto" w:sz="4" w:space="0"/>
                  </w:tcBorders>
                  <w:noWrap w:val="0"/>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µg/m</w:t>
                  </w:r>
                  <w:r>
                    <w:rPr>
                      <w:rFonts w:hint="default" w:ascii="Times New Roman" w:hAnsi="Times New Roman" w:eastAsia="宋体" w:cs="Times New Roman"/>
                      <w:color w:val="auto"/>
                      <w:sz w:val="24"/>
                      <w:highlight w:val="none"/>
                      <w:vertAlign w:val="superscript"/>
                    </w:rPr>
                    <w:t>3</w:t>
                  </w:r>
                </w:p>
              </w:tc>
              <w:tc>
                <w:tcPr>
                  <w:tcW w:w="2127" w:type="dxa"/>
                  <w:gridSpan w:val="2"/>
                  <w:tcBorders>
                    <w:lef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160（8小时平均）</w:t>
                  </w:r>
                </w:p>
              </w:tc>
              <w:tc>
                <w:tcPr>
                  <w:tcW w:w="127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p>
              </w:tc>
              <w:tc>
                <w:tcPr>
                  <w:tcW w:w="2758" w:type="dxa"/>
                  <w:vMerge w:val="continue"/>
                  <w:noWrap w:val="0"/>
                  <w:vAlign w:val="top"/>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08" w:hRule="atLeast"/>
                <w:jc w:val="center"/>
              </w:trPr>
              <w:tc>
                <w:tcPr>
                  <w:tcW w:w="1199" w:type="dxa"/>
                  <w:noWrap w:val="0"/>
                  <w:vAlign w:val="center"/>
                </w:tcPr>
                <w:p>
                  <w:pPr>
                    <w:jc w:val="center"/>
                    <w:rPr>
                      <w:rFonts w:hint="default" w:ascii="Times New Roman" w:hAnsi="Times New Roman" w:eastAsia="宋体" w:cs="Times New Roman"/>
                      <w:color w:val="auto"/>
                      <w:szCs w:val="21"/>
                      <w:highlight w:val="none"/>
                      <w:vertAlign w:val="subscript"/>
                    </w:rPr>
                  </w:pPr>
                  <w:r>
                    <w:rPr>
                      <w:rFonts w:hint="default" w:ascii="Times New Roman" w:hAnsi="Times New Roman" w:eastAsia="宋体" w:cs="Times New Roman"/>
                      <w:color w:val="auto"/>
                      <w:szCs w:val="21"/>
                      <w:highlight w:val="none"/>
                    </w:rPr>
                    <w:t>PM</w:t>
                  </w:r>
                  <w:r>
                    <w:rPr>
                      <w:rFonts w:hint="default" w:ascii="Times New Roman" w:hAnsi="Times New Roman" w:eastAsia="宋体" w:cs="Times New Roman"/>
                      <w:color w:val="auto"/>
                      <w:szCs w:val="21"/>
                      <w:highlight w:val="none"/>
                      <w:vertAlign w:val="subscript"/>
                    </w:rPr>
                    <w:t>2.5</w:t>
                  </w:r>
                </w:p>
              </w:tc>
              <w:tc>
                <w:tcPr>
                  <w:tcW w:w="1134" w:type="dxa"/>
                  <w:tcBorders>
                    <w:right w:val="single" w:color="auto" w:sz="4" w:space="0"/>
                  </w:tcBorders>
                  <w:noWrap w:val="0"/>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µg/m</w:t>
                  </w:r>
                  <w:r>
                    <w:rPr>
                      <w:rFonts w:hint="default" w:ascii="Times New Roman" w:hAnsi="Times New Roman" w:eastAsia="宋体" w:cs="Times New Roman"/>
                      <w:color w:val="auto"/>
                      <w:sz w:val="24"/>
                      <w:highlight w:val="none"/>
                      <w:vertAlign w:val="superscript"/>
                    </w:rPr>
                    <w:t>3</w:t>
                  </w:r>
                </w:p>
              </w:tc>
              <w:tc>
                <w:tcPr>
                  <w:tcW w:w="709" w:type="dxa"/>
                  <w:tcBorders>
                    <w:lef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w:t>
                  </w:r>
                </w:p>
              </w:tc>
              <w:tc>
                <w:tcPr>
                  <w:tcW w:w="141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75</w:t>
                  </w:r>
                </w:p>
              </w:tc>
              <w:tc>
                <w:tcPr>
                  <w:tcW w:w="127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758" w:type="dxa"/>
                  <w:vMerge w:val="continue"/>
                  <w:noWrap w:val="0"/>
                  <w:vAlign w:val="top"/>
                </w:tcPr>
                <w:p>
                  <w:pPr>
                    <w:jc w:val="center"/>
                    <w:rPr>
                      <w:rFonts w:hint="default" w:ascii="Times New Roman" w:hAnsi="Times New Roman" w:eastAsia="宋体" w:cs="Times New Roman"/>
                      <w:color w:val="auto"/>
                      <w:szCs w:val="21"/>
                      <w:highlight w:val="none"/>
                    </w:rPr>
                  </w:pPr>
                </w:p>
              </w:tc>
            </w:tr>
          </w:tbl>
          <w:p>
            <w:pPr>
              <w:pStyle w:val="82"/>
              <w:spacing w:line="240" w:lineRule="auto"/>
              <w:ind w:firstLine="4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*注：根据</w:t>
            </w:r>
            <w:r>
              <w:rPr>
                <w:rFonts w:hint="default" w:ascii="Times New Roman" w:hAnsi="Times New Roman" w:eastAsia="宋体" w:cs="Times New Roman"/>
                <w:color w:val="auto"/>
                <w:sz w:val="21"/>
                <w:szCs w:val="21"/>
                <w:highlight w:val="none"/>
                <w:lang w:val="zh-CN"/>
              </w:rPr>
              <w:t>《环境影响评价技术导则 大气环境》（HJ2.2-20</w:t>
            </w:r>
            <w:r>
              <w:rPr>
                <w:rFonts w:hint="default" w:ascii="Times New Roman" w:hAnsi="Times New Roman" w:eastAsia="宋体" w:cs="Times New Roman"/>
                <w:color w:val="auto"/>
                <w:sz w:val="21"/>
                <w:szCs w:val="21"/>
                <w:highlight w:val="none"/>
              </w:rPr>
              <w:t>18</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rPr>
              <w:t>，对仅有8h平均质量浓度限值、日平均质量浓度限值或年平均质量浓度限值的，可分别按2倍、3倍、6倍折算为1h平均浓度限值。</w:t>
            </w:r>
          </w:p>
          <w:p>
            <w:pPr>
              <w:adjustRightInd w:val="0"/>
              <w:snapToGrid w:val="0"/>
              <w:spacing w:line="440" w:lineRule="exact"/>
              <w:ind w:left="357"/>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（2）地表水环境质量标准</w:t>
            </w:r>
          </w:p>
          <w:p>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项目所在区域污水排入新城水处理厂，其纳污水体为江南运河，按照</w:t>
            </w:r>
            <w:r>
              <w:rPr>
                <w:rFonts w:hint="default" w:ascii="Times New Roman" w:hAnsi="Times New Roman" w:eastAsia="宋体" w:cs="Times New Roman"/>
                <w:color w:val="auto"/>
                <w:sz w:val="24"/>
                <w:highlight w:val="none"/>
                <w:lang w:eastAsia="zh-CN"/>
              </w:rPr>
              <w:t>省生态环境厅</w:t>
            </w:r>
            <w:r>
              <w:rPr>
                <w:rFonts w:hint="default" w:ascii="Times New Roman" w:hAnsi="Times New Roman" w:eastAsia="宋体" w:cs="Times New Roman"/>
                <w:color w:val="auto"/>
                <w:sz w:val="24"/>
                <w:highlight w:val="none"/>
                <w:lang w:val="en-US" w:eastAsia="zh-CN"/>
              </w:rPr>
              <w:t>省水利厅关于印发</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江苏省地表水（环境）功能区划（</w:t>
            </w:r>
            <w:r>
              <w:rPr>
                <w:rFonts w:hint="default" w:ascii="Times New Roman" w:hAnsi="Times New Roman" w:eastAsia="宋体" w:cs="Times New Roman"/>
                <w:color w:val="auto"/>
                <w:sz w:val="24"/>
                <w:highlight w:val="none"/>
                <w:lang w:val="en-US" w:eastAsia="zh-CN"/>
              </w:rPr>
              <w:t>2021-2030年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eastAsia="zh-CN"/>
              </w:rPr>
              <w:t>通知</w:t>
            </w:r>
            <w:r>
              <w:rPr>
                <w:rFonts w:hint="default" w:ascii="Times New Roman" w:hAnsi="Times New Roman" w:eastAsia="宋体" w:cs="Times New Roman"/>
                <w:color w:val="auto"/>
                <w:sz w:val="24"/>
                <w:highlight w:val="none"/>
              </w:rPr>
              <w:t>，江南运河属《地表水环境质量标准》(GB3838-2002)中的Ⅳ类水体，详见下表3-</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pPr>
              <w:spacing w:line="500" w:lineRule="exact"/>
              <w:ind w:left="422"/>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 xml:space="preserve">  地表水环境质量标准限值表单位：mg/L(pH为无量纲)</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437"/>
              <w:gridCol w:w="1423"/>
              <w:gridCol w:w="1429"/>
              <w:gridCol w:w="1426"/>
              <w:gridCol w:w="14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4" w:type="dxa"/>
                  <w:noWrap w:val="0"/>
                  <w:vAlign w:val="center"/>
                </w:tcPr>
                <w:p>
                  <w:pPr>
                    <w:snapToGrid w:val="0"/>
                    <w:spacing w:line="30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水域名</w:t>
                  </w:r>
                </w:p>
              </w:tc>
              <w:tc>
                <w:tcPr>
                  <w:tcW w:w="1437" w:type="dxa"/>
                  <w:noWrap w:val="0"/>
                  <w:vAlign w:val="center"/>
                </w:tcPr>
                <w:p>
                  <w:pPr>
                    <w:snapToGrid w:val="0"/>
                    <w:spacing w:line="30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执行标准</w:t>
                  </w:r>
                </w:p>
              </w:tc>
              <w:tc>
                <w:tcPr>
                  <w:tcW w:w="1423" w:type="dxa"/>
                  <w:noWrap w:val="0"/>
                  <w:vAlign w:val="center"/>
                </w:tcPr>
                <w:p>
                  <w:pPr>
                    <w:snapToGrid w:val="0"/>
                    <w:spacing w:line="30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表号及标准</w:t>
                  </w:r>
                </w:p>
              </w:tc>
              <w:tc>
                <w:tcPr>
                  <w:tcW w:w="1429" w:type="dxa"/>
                  <w:noWrap w:val="0"/>
                  <w:vAlign w:val="center"/>
                </w:tcPr>
                <w:p>
                  <w:pPr>
                    <w:snapToGrid w:val="0"/>
                    <w:spacing w:line="30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污染物指标</w:t>
                  </w:r>
                </w:p>
              </w:tc>
              <w:tc>
                <w:tcPr>
                  <w:tcW w:w="1426" w:type="dxa"/>
                  <w:noWrap w:val="0"/>
                  <w:vAlign w:val="center"/>
                </w:tcPr>
                <w:p>
                  <w:pPr>
                    <w:snapToGrid w:val="0"/>
                    <w:spacing w:line="30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单位</w:t>
                  </w:r>
                </w:p>
              </w:tc>
              <w:tc>
                <w:tcPr>
                  <w:tcW w:w="1430" w:type="dxa"/>
                  <w:noWrap w:val="0"/>
                  <w:vAlign w:val="center"/>
                </w:tcPr>
                <w:p>
                  <w:pPr>
                    <w:snapToGrid w:val="0"/>
                    <w:spacing w:line="30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4" w:type="dxa"/>
                  <w:vMerge w:val="restart"/>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江南运河</w:t>
                  </w:r>
                </w:p>
              </w:tc>
              <w:tc>
                <w:tcPr>
                  <w:tcW w:w="1437" w:type="dxa"/>
                  <w:vMerge w:val="restart"/>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GB3838-2002</w:t>
                  </w:r>
                </w:p>
              </w:tc>
              <w:tc>
                <w:tcPr>
                  <w:tcW w:w="1423" w:type="dxa"/>
                  <w:vMerge w:val="restart"/>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Ⅳ类水体</w:t>
                  </w:r>
                </w:p>
              </w:tc>
              <w:tc>
                <w:tcPr>
                  <w:tcW w:w="1429" w:type="dxa"/>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w:t>
                  </w:r>
                </w:p>
              </w:tc>
              <w:tc>
                <w:tcPr>
                  <w:tcW w:w="1426" w:type="dxa"/>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无量纲</w:t>
                  </w:r>
                </w:p>
              </w:tc>
              <w:tc>
                <w:tcPr>
                  <w:tcW w:w="1430" w:type="dxa"/>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4"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37"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23"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29" w:type="dxa"/>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p>
              </w:tc>
              <w:tc>
                <w:tcPr>
                  <w:tcW w:w="1426" w:type="dxa"/>
                  <w:vMerge w:val="restart"/>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mg/L</w:t>
                  </w:r>
                </w:p>
              </w:tc>
              <w:tc>
                <w:tcPr>
                  <w:tcW w:w="1430" w:type="dxa"/>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4"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37"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23"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29" w:type="dxa"/>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NH3-N</w:t>
                  </w:r>
                </w:p>
              </w:tc>
              <w:tc>
                <w:tcPr>
                  <w:tcW w:w="1426"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30" w:type="dxa"/>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4"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37"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23"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29" w:type="dxa"/>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TP</w:t>
                  </w:r>
                </w:p>
              </w:tc>
              <w:tc>
                <w:tcPr>
                  <w:tcW w:w="1426"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30" w:type="dxa"/>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4"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37"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23"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29" w:type="dxa"/>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TN</w:t>
                  </w:r>
                </w:p>
              </w:tc>
              <w:tc>
                <w:tcPr>
                  <w:tcW w:w="1426"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30" w:type="dxa"/>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4"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37"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23"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29" w:type="dxa"/>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石油类</w:t>
                  </w:r>
                </w:p>
              </w:tc>
              <w:tc>
                <w:tcPr>
                  <w:tcW w:w="1426" w:type="dxa"/>
                  <w:vMerge w:val="continue"/>
                  <w:noWrap w:val="0"/>
                  <w:vAlign w:val="center"/>
                </w:tcPr>
                <w:p>
                  <w:pPr>
                    <w:snapToGrid w:val="0"/>
                    <w:spacing w:line="300" w:lineRule="exact"/>
                    <w:jc w:val="center"/>
                    <w:rPr>
                      <w:rFonts w:hint="default" w:ascii="Times New Roman" w:hAnsi="Times New Roman" w:eastAsia="宋体" w:cs="Times New Roman"/>
                      <w:color w:val="auto"/>
                      <w:highlight w:val="none"/>
                    </w:rPr>
                  </w:pPr>
                </w:p>
              </w:tc>
              <w:tc>
                <w:tcPr>
                  <w:tcW w:w="1430" w:type="dxa"/>
                  <w:noWrap w:val="0"/>
                  <w:vAlign w:val="center"/>
                </w:tcPr>
                <w:p>
                  <w:pPr>
                    <w:snapToGrid w:val="0"/>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≤0.5</w:t>
                  </w:r>
                </w:p>
              </w:tc>
            </w:tr>
          </w:tbl>
          <w:p>
            <w:pPr>
              <w:adjustRightInd w:val="0"/>
              <w:snapToGrid w:val="0"/>
              <w:spacing w:line="460" w:lineRule="exact"/>
              <w:ind w:left="16"/>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（3）声环境质量标准</w:t>
            </w:r>
          </w:p>
          <w:p>
            <w:pPr>
              <w:autoSpaceDE w:val="0"/>
              <w:autoSpaceDN w:val="0"/>
              <w:adjustRightInd w:val="0"/>
              <w:snapToGrid w:val="0"/>
              <w:spacing w:line="460" w:lineRule="exact"/>
              <w:ind w:firstLine="480" w:firstLineChars="2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根据《市政府办公室关于印发无锡市区声环境功能区划分调整方案的通知》(锡政办发[2018]157号)的规定，项目所在地位于3类声环境功能区内，执行《声环境质量标准》(GB3096-2008)3类区标准，具体至见表3-</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p>
            <w:pPr>
              <w:spacing w:line="460" w:lineRule="exact"/>
              <w:ind w:left="422"/>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w:t>
            </w:r>
            <w:r>
              <w:rPr>
                <w:rFonts w:hint="eastAsia"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 xml:space="preserve">   声环境质量标准单位：dB（A）</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70"/>
              <w:gridCol w:w="2496"/>
              <w:gridCol w:w="28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70"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2496"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昼间</w:t>
                  </w:r>
                </w:p>
              </w:tc>
              <w:tc>
                <w:tcPr>
                  <w:tcW w:w="2863"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70"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3类区环境噪声标准</w:t>
                  </w:r>
                </w:p>
              </w:tc>
              <w:tc>
                <w:tcPr>
                  <w:tcW w:w="2496"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w:t>
                  </w:r>
                </w:p>
              </w:tc>
              <w:tc>
                <w:tcPr>
                  <w:tcW w:w="2863"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≤55</w:t>
                  </w:r>
                </w:p>
              </w:tc>
            </w:tr>
          </w:tbl>
          <w:p>
            <w:pPr>
              <w:adjustRightInd w:val="0"/>
              <w:snapToGrid w:val="0"/>
              <w:spacing w:line="460" w:lineRule="exact"/>
              <w:ind w:firstLine="482" w:firstLineChars="200"/>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2、污染物排放控制标准</w:t>
            </w:r>
          </w:p>
          <w:p>
            <w:pPr>
              <w:adjustRightInd w:val="0"/>
              <w:snapToGrid w:val="0"/>
              <w:spacing w:line="500" w:lineRule="exact"/>
              <w:ind w:left="357"/>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（1）废水污染物控制标准</w:t>
            </w:r>
          </w:p>
          <w:p>
            <w:pPr>
              <w:adjustRightInd w:val="0"/>
              <w:snapToGrid w:val="0"/>
              <w:spacing w:line="500" w:lineRule="exact"/>
              <w:ind w:firstLine="480"/>
              <w:jc w:val="center"/>
              <w:rPr>
                <w:rFonts w:hint="default" w:ascii="Times New Roman" w:hAnsi="Times New Roman" w:eastAsia="宋体" w:cs="Times New Roman"/>
                <w:bCs/>
                <w:snapToGrid w:val="0"/>
                <w:color w:val="auto"/>
                <w:kern w:val="0"/>
                <w:sz w:val="24"/>
                <w:highlight w:val="none"/>
              </w:rPr>
            </w:pPr>
            <w:bookmarkStart w:id="10" w:name="_Toc451166464"/>
            <w:bookmarkEnd w:id="10"/>
            <w:r>
              <w:rPr>
                <w:rFonts w:hint="default" w:ascii="Times New Roman" w:hAnsi="Times New Roman" w:eastAsia="宋体" w:cs="Times New Roman"/>
                <w:color w:val="auto"/>
                <w:kern w:val="0"/>
                <w:sz w:val="24"/>
                <w:highlight w:val="none"/>
              </w:rPr>
              <w:t>本项目废水接管</w:t>
            </w:r>
            <w:r>
              <w:rPr>
                <w:rFonts w:hint="default" w:ascii="Times New Roman" w:hAnsi="Times New Roman" w:eastAsia="宋体" w:cs="Times New Roman"/>
                <w:color w:val="auto"/>
                <w:sz w:val="24"/>
                <w:highlight w:val="none"/>
              </w:rPr>
              <w:t>新城水处理厂</w:t>
            </w:r>
            <w:r>
              <w:rPr>
                <w:rFonts w:hint="default" w:ascii="Times New Roman" w:hAnsi="Times New Roman" w:eastAsia="宋体" w:cs="Times New Roman"/>
                <w:color w:val="auto"/>
                <w:kern w:val="0"/>
                <w:sz w:val="24"/>
                <w:highlight w:val="none"/>
              </w:rPr>
              <w:t>，最终排入江南运河；</w:t>
            </w:r>
            <w:r>
              <w:rPr>
                <w:rFonts w:hint="default" w:ascii="Times New Roman" w:hAnsi="Times New Roman" w:eastAsia="宋体" w:cs="Times New Roman"/>
                <w:color w:val="auto"/>
                <w:sz w:val="24"/>
                <w:highlight w:val="none"/>
              </w:rPr>
              <w:t>废水接管要求执行《污水综合排放标准》(GB8978-1996)中表4三级标准，TP、NH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-N、TN执行《污水排入城镇下水道水质标准》(GB/T31962-2015)表1中A等级标准；污水处理厂尾水执行</w:t>
            </w:r>
            <w:r>
              <w:rPr>
                <w:rFonts w:hint="default" w:ascii="Times New Roman" w:hAnsi="Times New Roman" w:eastAsia="宋体" w:cs="Times New Roman"/>
                <w:bCs/>
                <w:snapToGrid w:val="0"/>
                <w:color w:val="auto"/>
                <w:kern w:val="0"/>
                <w:sz w:val="24"/>
                <w:highlight w:val="none"/>
                <w:lang w:eastAsia="zh-CN"/>
              </w:rPr>
              <w:t>类《地表水环境质量标准》（GB3838-2002）III类标准，悬浮物优于《城镇污水处理厂污染物排放标准》（GB18918-2002）中一级A标准，</w:t>
            </w:r>
            <w:r>
              <w:rPr>
                <w:rFonts w:hint="default" w:ascii="Times New Roman" w:hAnsi="Times New Roman" w:eastAsia="宋体" w:cs="Times New Roman"/>
                <w:bCs/>
                <w:snapToGrid w:val="0"/>
                <w:color w:val="auto"/>
                <w:kern w:val="0"/>
                <w:sz w:val="24"/>
                <w:highlight w:val="none"/>
                <w:lang w:val="en-US" w:eastAsia="zh-CN"/>
              </w:rPr>
              <w:t>动植物油排放执行</w:t>
            </w:r>
            <w:r>
              <w:rPr>
                <w:rFonts w:hint="default" w:ascii="Times New Roman" w:hAnsi="Times New Roman" w:eastAsia="宋体" w:cs="Times New Roman"/>
                <w:bCs/>
                <w:snapToGrid w:val="0"/>
                <w:color w:val="auto"/>
                <w:kern w:val="0"/>
                <w:sz w:val="24"/>
                <w:highlight w:val="none"/>
              </w:rPr>
              <w:t>《城镇</w:t>
            </w:r>
          </w:p>
          <w:p>
            <w:pPr>
              <w:adjustRightInd w:val="0"/>
              <w:snapToGrid w:val="0"/>
              <w:spacing w:line="500" w:lineRule="exact"/>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bCs/>
                <w:snapToGrid w:val="0"/>
                <w:color w:val="auto"/>
                <w:kern w:val="0"/>
                <w:sz w:val="24"/>
                <w:highlight w:val="none"/>
              </w:rPr>
              <w:t>污水处理厂污染物排放标准》（GB18918-2002）中一级A标准</w:t>
            </w:r>
            <w:r>
              <w:rPr>
                <w:rFonts w:hint="default" w:ascii="Times New Roman" w:hAnsi="Times New Roman" w:eastAsia="宋体" w:cs="Times New Roman"/>
                <w:color w:val="auto"/>
                <w:sz w:val="24"/>
                <w:highlight w:val="none"/>
              </w:rPr>
              <w:t>。</w:t>
            </w:r>
          </w:p>
          <w:p>
            <w:pPr>
              <w:adjustRightInd w:val="0"/>
              <w:snapToGrid w:val="0"/>
              <w:spacing w:line="500" w:lineRule="exact"/>
              <w:jc w:val="center"/>
              <w:rPr>
                <w:rFonts w:hint="default" w:ascii="Times New Roman" w:hAnsi="Times New Roman" w:eastAsia="宋体" w:cs="Times New Roman"/>
                <w:b/>
                <w:bCs/>
                <w:color w:val="auto"/>
                <w:spacing w:val="-4"/>
                <w:sz w:val="24"/>
                <w:highlight w:val="none"/>
              </w:rPr>
            </w:pPr>
            <w:r>
              <w:rPr>
                <w:rFonts w:hint="default" w:ascii="Times New Roman" w:hAnsi="Times New Roman" w:eastAsia="宋体" w:cs="Times New Roman"/>
                <w:b/>
                <w:bCs/>
                <w:color w:val="auto"/>
                <w:spacing w:val="-4"/>
                <w:sz w:val="24"/>
                <w:highlight w:val="none"/>
              </w:rPr>
              <w:t>表3-</w:t>
            </w:r>
            <w:r>
              <w:rPr>
                <w:rFonts w:hint="eastAsia" w:cs="Times New Roman"/>
                <w:b/>
                <w:bCs/>
                <w:color w:val="auto"/>
                <w:spacing w:val="-4"/>
                <w:sz w:val="24"/>
                <w:highlight w:val="none"/>
                <w:lang w:val="en-US" w:eastAsia="zh-CN"/>
              </w:rPr>
              <w:t>6</w:t>
            </w:r>
            <w:r>
              <w:rPr>
                <w:rFonts w:hint="default" w:ascii="Times New Roman" w:hAnsi="Times New Roman" w:eastAsia="宋体" w:cs="Times New Roman"/>
                <w:b/>
                <w:bCs/>
                <w:color w:val="auto"/>
                <w:spacing w:val="-4"/>
                <w:sz w:val="24"/>
                <w:highlight w:val="none"/>
              </w:rPr>
              <w:t xml:space="preserve">    废污水排放标准限值表单位：mg/L(pH为无量纲)</w:t>
            </w:r>
          </w:p>
          <w:tbl>
            <w:tblPr>
              <w:tblStyle w:val="21"/>
              <w:tblW w:w="849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76"/>
              <w:gridCol w:w="3563"/>
              <w:gridCol w:w="1869"/>
              <w:gridCol w:w="16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76" w:type="dxa"/>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3563" w:type="dxa"/>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c>
                <w:tcPr>
                  <w:tcW w:w="1869" w:type="dxa"/>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污染物指标</w:t>
                  </w:r>
                </w:p>
              </w:tc>
              <w:tc>
                <w:tcPr>
                  <w:tcW w:w="1685" w:type="dxa"/>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标准限值mg/L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376"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接管标准</w:t>
                  </w:r>
                </w:p>
              </w:tc>
              <w:tc>
                <w:tcPr>
                  <w:tcW w:w="3563"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《污水综合排放标准》（GB8978-1996）表4三级</w:t>
                  </w:r>
                </w:p>
              </w:tc>
              <w:tc>
                <w:tcPr>
                  <w:tcW w:w="186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1685"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376"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3563"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86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1685"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4" w:hRule="atLeast"/>
                <w:jc w:val="center"/>
              </w:trPr>
              <w:tc>
                <w:tcPr>
                  <w:tcW w:w="1376" w:type="dxa"/>
                  <w:vMerge w:val="continue"/>
                  <w:noWrap w:val="0"/>
                  <w:vAlign w:val="center"/>
                </w:tcPr>
                <w:p>
                  <w:pPr>
                    <w:widowControl/>
                    <w:jc w:val="left"/>
                    <w:rPr>
                      <w:rFonts w:hint="default" w:ascii="Times New Roman" w:hAnsi="Times New Roman" w:eastAsia="宋体" w:cs="Times New Roman"/>
                      <w:color w:val="auto"/>
                      <w:sz w:val="21"/>
                      <w:szCs w:val="21"/>
                      <w:highlight w:val="none"/>
                    </w:rPr>
                  </w:pPr>
                </w:p>
              </w:tc>
              <w:tc>
                <w:tcPr>
                  <w:tcW w:w="3563" w:type="dxa"/>
                  <w:vMerge w:val="continue"/>
                  <w:noWrap w:val="0"/>
                  <w:vAlign w:val="center"/>
                </w:tcPr>
                <w:p>
                  <w:pPr>
                    <w:widowControl/>
                    <w:jc w:val="left"/>
                    <w:rPr>
                      <w:rFonts w:hint="default" w:ascii="Times New Roman" w:hAnsi="Times New Roman" w:eastAsia="宋体" w:cs="Times New Roman"/>
                      <w:color w:val="auto"/>
                      <w:sz w:val="21"/>
                      <w:szCs w:val="21"/>
                      <w:highlight w:val="none"/>
                    </w:rPr>
                  </w:pPr>
                </w:p>
              </w:tc>
              <w:tc>
                <w:tcPr>
                  <w:tcW w:w="186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动植物油</w:t>
                  </w:r>
                </w:p>
              </w:tc>
              <w:tc>
                <w:tcPr>
                  <w:tcW w:w="1685"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8" w:hRule="atLeast"/>
                <w:jc w:val="center"/>
              </w:trPr>
              <w:tc>
                <w:tcPr>
                  <w:tcW w:w="1376" w:type="dxa"/>
                  <w:vMerge w:val="continue"/>
                  <w:noWrap w:val="0"/>
                  <w:vAlign w:val="center"/>
                </w:tcPr>
                <w:p>
                  <w:pPr>
                    <w:widowControl/>
                    <w:jc w:val="left"/>
                    <w:rPr>
                      <w:rFonts w:hint="default" w:ascii="Times New Roman" w:hAnsi="Times New Roman" w:eastAsia="宋体" w:cs="Times New Roman"/>
                      <w:color w:val="auto"/>
                      <w:sz w:val="21"/>
                      <w:szCs w:val="21"/>
                      <w:highlight w:val="none"/>
                    </w:rPr>
                  </w:pPr>
                </w:p>
              </w:tc>
              <w:tc>
                <w:tcPr>
                  <w:tcW w:w="3563"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《污水排入城镇下水道水质标准》（GB/T31962-2015）表1A等级</w:t>
                  </w:r>
                </w:p>
              </w:tc>
              <w:tc>
                <w:tcPr>
                  <w:tcW w:w="186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685"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1376" w:type="dxa"/>
                  <w:vMerge w:val="continue"/>
                  <w:noWrap w:val="0"/>
                  <w:vAlign w:val="center"/>
                </w:tcPr>
                <w:p>
                  <w:pPr>
                    <w:widowControl/>
                    <w:jc w:val="left"/>
                    <w:rPr>
                      <w:rFonts w:hint="default" w:ascii="Times New Roman" w:hAnsi="Times New Roman" w:eastAsia="宋体" w:cs="Times New Roman"/>
                      <w:color w:val="auto"/>
                      <w:sz w:val="21"/>
                      <w:szCs w:val="21"/>
                      <w:highlight w:val="none"/>
                    </w:rPr>
                  </w:pPr>
                </w:p>
              </w:tc>
              <w:tc>
                <w:tcPr>
                  <w:tcW w:w="3563" w:type="dxa"/>
                  <w:vMerge w:val="continue"/>
                  <w:noWrap w:val="0"/>
                  <w:vAlign w:val="center"/>
                </w:tcPr>
                <w:p>
                  <w:pPr>
                    <w:widowControl/>
                    <w:jc w:val="left"/>
                    <w:rPr>
                      <w:rFonts w:hint="default" w:ascii="Times New Roman" w:hAnsi="Times New Roman" w:eastAsia="宋体" w:cs="Times New Roman"/>
                      <w:color w:val="auto"/>
                      <w:sz w:val="21"/>
                      <w:szCs w:val="21"/>
                      <w:highlight w:val="none"/>
                    </w:rPr>
                  </w:pPr>
                </w:p>
              </w:tc>
              <w:tc>
                <w:tcPr>
                  <w:tcW w:w="186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TN</w:t>
                  </w:r>
                </w:p>
              </w:tc>
              <w:tc>
                <w:tcPr>
                  <w:tcW w:w="1685"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3" w:hRule="atLeast"/>
                <w:jc w:val="center"/>
              </w:trPr>
              <w:tc>
                <w:tcPr>
                  <w:tcW w:w="1376" w:type="dxa"/>
                  <w:vMerge w:val="continue"/>
                  <w:noWrap w:val="0"/>
                  <w:vAlign w:val="center"/>
                </w:tcPr>
                <w:p>
                  <w:pPr>
                    <w:widowControl/>
                    <w:jc w:val="left"/>
                    <w:rPr>
                      <w:rFonts w:hint="default" w:ascii="Times New Roman" w:hAnsi="Times New Roman" w:eastAsia="宋体" w:cs="Times New Roman"/>
                      <w:color w:val="auto"/>
                      <w:sz w:val="21"/>
                      <w:szCs w:val="21"/>
                      <w:highlight w:val="none"/>
                    </w:rPr>
                  </w:pPr>
                </w:p>
              </w:tc>
              <w:tc>
                <w:tcPr>
                  <w:tcW w:w="3563" w:type="dxa"/>
                  <w:vMerge w:val="continue"/>
                  <w:noWrap w:val="0"/>
                  <w:vAlign w:val="center"/>
                </w:tcPr>
                <w:p>
                  <w:pPr>
                    <w:widowControl/>
                    <w:jc w:val="left"/>
                    <w:rPr>
                      <w:rFonts w:hint="default" w:ascii="Times New Roman" w:hAnsi="Times New Roman" w:eastAsia="宋体" w:cs="Times New Roman"/>
                      <w:color w:val="auto"/>
                      <w:sz w:val="21"/>
                      <w:szCs w:val="21"/>
                      <w:highlight w:val="none"/>
                    </w:rPr>
                  </w:pPr>
                </w:p>
              </w:tc>
              <w:tc>
                <w:tcPr>
                  <w:tcW w:w="186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TP</w:t>
                  </w:r>
                </w:p>
              </w:tc>
              <w:tc>
                <w:tcPr>
                  <w:tcW w:w="1685"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7" w:hRule="atLeast"/>
                <w:jc w:val="center"/>
              </w:trPr>
              <w:tc>
                <w:tcPr>
                  <w:tcW w:w="1376"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尾水</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排放标准</w:t>
                  </w:r>
                </w:p>
              </w:tc>
              <w:tc>
                <w:tcPr>
                  <w:tcW w:w="3563"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《城镇污水处理厂污染物排放标准》</w:t>
                  </w:r>
                  <w:r>
                    <w:rPr>
                      <w:rFonts w:hint="default" w:ascii="Times New Roman" w:hAnsi="Times New Roman" w:eastAsia="宋体" w:cs="Times New Roman"/>
                      <w:color w:val="auto"/>
                      <w:sz w:val="21"/>
                      <w:szCs w:val="21"/>
                      <w:highlight w:val="none"/>
                    </w:rPr>
                    <w:t>（GB18918-2002）表1一级A标准</w:t>
                  </w:r>
                </w:p>
              </w:tc>
              <w:tc>
                <w:tcPr>
                  <w:tcW w:w="186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动植物油</w:t>
                  </w:r>
                </w:p>
              </w:tc>
              <w:tc>
                <w:tcPr>
                  <w:tcW w:w="1685"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6" w:hRule="atLeast"/>
                <w:jc w:val="center"/>
              </w:trPr>
              <w:tc>
                <w:tcPr>
                  <w:tcW w:w="1376"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3563"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优于GB18918-2002表1中的一级A标准</w:t>
                  </w:r>
                </w:p>
              </w:tc>
              <w:tc>
                <w:tcPr>
                  <w:tcW w:w="1869"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c>
                <w:tcPr>
                  <w:tcW w:w="1685"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376" w:type="dxa"/>
                  <w:vMerge w:val="continue"/>
                  <w:noWrap w:val="0"/>
                  <w:vAlign w:val="center"/>
                </w:tcPr>
                <w:p>
                  <w:pPr>
                    <w:widowControl/>
                    <w:jc w:val="left"/>
                    <w:rPr>
                      <w:rFonts w:hint="default" w:ascii="Times New Roman" w:hAnsi="Times New Roman" w:eastAsia="宋体" w:cs="Times New Roman"/>
                      <w:color w:val="auto"/>
                      <w:sz w:val="21"/>
                      <w:szCs w:val="21"/>
                      <w:highlight w:val="none"/>
                    </w:rPr>
                  </w:pPr>
                </w:p>
              </w:tc>
              <w:tc>
                <w:tcPr>
                  <w:tcW w:w="3563" w:type="dxa"/>
                  <w:vMerge w:val="restart"/>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类比GB3838-2002 III类标准</w:t>
                  </w:r>
                </w:p>
              </w:tc>
              <w:tc>
                <w:tcPr>
                  <w:tcW w:w="186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bookmarkStart w:id="11" w:name="OLE_LINK6"/>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bookmarkEnd w:id="11"/>
                </w:p>
              </w:tc>
              <w:tc>
                <w:tcPr>
                  <w:tcW w:w="1685"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8" w:hRule="atLeast"/>
                <w:jc w:val="center"/>
              </w:trPr>
              <w:tc>
                <w:tcPr>
                  <w:tcW w:w="1376" w:type="dxa"/>
                  <w:vMerge w:val="continue"/>
                  <w:noWrap w:val="0"/>
                  <w:vAlign w:val="center"/>
                </w:tcPr>
                <w:p>
                  <w:pPr>
                    <w:widowControl/>
                    <w:jc w:val="left"/>
                    <w:rPr>
                      <w:rFonts w:hint="default" w:ascii="Times New Roman" w:hAnsi="Times New Roman" w:eastAsia="宋体" w:cs="Times New Roman"/>
                      <w:color w:val="auto"/>
                      <w:sz w:val="21"/>
                      <w:szCs w:val="21"/>
                      <w:highlight w:val="none"/>
                    </w:rPr>
                  </w:pPr>
                </w:p>
              </w:tc>
              <w:tc>
                <w:tcPr>
                  <w:tcW w:w="3563" w:type="dxa"/>
                  <w:vMerge w:val="continue"/>
                  <w:noWrap w:val="0"/>
                  <w:vAlign w:val="center"/>
                </w:tcPr>
                <w:p>
                  <w:pPr>
                    <w:widowControl/>
                    <w:jc w:val="left"/>
                    <w:rPr>
                      <w:rFonts w:hint="default" w:ascii="Times New Roman" w:hAnsi="Times New Roman" w:eastAsia="宋体" w:cs="Times New Roman"/>
                      <w:color w:val="auto"/>
                      <w:kern w:val="0"/>
                      <w:sz w:val="21"/>
                      <w:szCs w:val="21"/>
                      <w:highlight w:val="none"/>
                    </w:rPr>
                  </w:pPr>
                </w:p>
              </w:tc>
              <w:tc>
                <w:tcPr>
                  <w:tcW w:w="186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TN</w:t>
                  </w:r>
                </w:p>
              </w:tc>
              <w:tc>
                <w:tcPr>
                  <w:tcW w:w="1685"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5" w:hRule="atLeast"/>
                <w:jc w:val="center"/>
              </w:trPr>
              <w:tc>
                <w:tcPr>
                  <w:tcW w:w="1376" w:type="dxa"/>
                  <w:vMerge w:val="continue"/>
                  <w:noWrap w:val="0"/>
                  <w:vAlign w:val="center"/>
                </w:tcPr>
                <w:p>
                  <w:pPr>
                    <w:widowControl/>
                    <w:jc w:val="left"/>
                    <w:rPr>
                      <w:rFonts w:hint="default" w:ascii="Times New Roman" w:hAnsi="Times New Roman" w:eastAsia="宋体" w:cs="Times New Roman"/>
                      <w:color w:val="auto"/>
                      <w:sz w:val="21"/>
                      <w:szCs w:val="21"/>
                      <w:highlight w:val="none"/>
                    </w:rPr>
                  </w:pPr>
                </w:p>
              </w:tc>
              <w:tc>
                <w:tcPr>
                  <w:tcW w:w="3563" w:type="dxa"/>
                  <w:vMerge w:val="continue"/>
                  <w:noWrap w:val="0"/>
                  <w:vAlign w:val="center"/>
                </w:tcPr>
                <w:p>
                  <w:pPr>
                    <w:widowControl/>
                    <w:jc w:val="left"/>
                    <w:rPr>
                      <w:rFonts w:hint="default" w:ascii="Times New Roman" w:hAnsi="Times New Roman" w:eastAsia="宋体" w:cs="Times New Roman"/>
                      <w:color w:val="auto"/>
                      <w:kern w:val="0"/>
                      <w:sz w:val="21"/>
                      <w:szCs w:val="21"/>
                      <w:highlight w:val="none"/>
                    </w:rPr>
                  </w:pPr>
                </w:p>
              </w:tc>
              <w:tc>
                <w:tcPr>
                  <w:tcW w:w="186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TP</w:t>
                  </w:r>
                </w:p>
              </w:tc>
              <w:tc>
                <w:tcPr>
                  <w:tcW w:w="1685"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6" w:hRule="atLeast"/>
                <w:jc w:val="center"/>
              </w:trPr>
              <w:tc>
                <w:tcPr>
                  <w:tcW w:w="1376" w:type="dxa"/>
                  <w:vMerge w:val="continue"/>
                  <w:noWrap w:val="0"/>
                  <w:vAlign w:val="center"/>
                </w:tcPr>
                <w:p>
                  <w:pPr>
                    <w:widowControl/>
                    <w:jc w:val="left"/>
                    <w:rPr>
                      <w:rFonts w:hint="default" w:ascii="Times New Roman" w:hAnsi="Times New Roman" w:eastAsia="宋体" w:cs="Times New Roman"/>
                      <w:color w:val="auto"/>
                      <w:sz w:val="21"/>
                      <w:szCs w:val="21"/>
                      <w:highlight w:val="none"/>
                    </w:rPr>
                  </w:pPr>
                </w:p>
              </w:tc>
              <w:tc>
                <w:tcPr>
                  <w:tcW w:w="3563" w:type="dxa"/>
                  <w:vMerge w:val="continue"/>
                  <w:noWrap w:val="0"/>
                  <w:vAlign w:val="center"/>
                </w:tcPr>
                <w:p>
                  <w:pPr>
                    <w:widowControl/>
                    <w:jc w:val="left"/>
                    <w:rPr>
                      <w:rFonts w:hint="default" w:ascii="Times New Roman" w:hAnsi="Times New Roman" w:eastAsia="宋体" w:cs="Times New Roman"/>
                      <w:color w:val="auto"/>
                      <w:kern w:val="0"/>
                      <w:sz w:val="21"/>
                      <w:szCs w:val="21"/>
                      <w:highlight w:val="none"/>
                    </w:rPr>
                  </w:pPr>
                </w:p>
              </w:tc>
              <w:tc>
                <w:tcPr>
                  <w:tcW w:w="186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1685"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r>
          </w:tbl>
          <w:p>
            <w:pP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注：1)，括号外数值为水温大于12℃时的控制指标，括号内数值为水温≤12℃时的控制指标。</w:t>
            </w:r>
          </w:p>
          <w:p>
            <w:pPr>
              <w:adjustRightInd w:val="0"/>
              <w:snapToGrid w:val="0"/>
              <w:spacing w:line="500" w:lineRule="exact"/>
              <w:ind w:firstLine="480" w:firstLineChars="200"/>
              <w:jc w:val="left"/>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本项目新增少量工艺废水经现有</w:t>
            </w:r>
            <w:r>
              <w:rPr>
                <w:rFonts w:hint="eastAsia" w:cs="Times New Roman"/>
                <w:color w:val="auto"/>
                <w:kern w:val="0"/>
                <w:sz w:val="24"/>
                <w:szCs w:val="21"/>
                <w:highlight w:val="none"/>
                <w:lang w:val="en-US" w:eastAsia="zh-CN"/>
              </w:rPr>
              <w:t>污水</w:t>
            </w:r>
            <w:r>
              <w:rPr>
                <w:rFonts w:hint="default" w:ascii="Times New Roman" w:hAnsi="Times New Roman" w:eastAsia="宋体" w:cs="Times New Roman"/>
                <w:color w:val="auto"/>
                <w:kern w:val="0"/>
                <w:sz w:val="24"/>
                <w:szCs w:val="21"/>
                <w:highlight w:val="none"/>
              </w:rPr>
              <w:t>处理站处理后回用于中水冷却塔，回用水质执行《城市污水再生利用 工业用水水质》（GB/T 19923-2005）表1中标准，详见下表：</w:t>
            </w:r>
          </w:p>
          <w:p>
            <w:pPr>
              <w:adjustRightInd w:val="0"/>
              <w:snapToGrid w:val="0"/>
              <w:spacing w:line="500" w:lineRule="exact"/>
              <w:ind w:firstLine="466" w:firstLineChars="200"/>
              <w:jc w:val="center"/>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b/>
                <w:bCs/>
                <w:color w:val="auto"/>
                <w:spacing w:val="-4"/>
                <w:sz w:val="24"/>
                <w:highlight w:val="none"/>
              </w:rPr>
              <w:t>表3-</w:t>
            </w:r>
            <w:r>
              <w:rPr>
                <w:rFonts w:hint="eastAsia" w:cs="Times New Roman"/>
                <w:b/>
                <w:bCs/>
                <w:color w:val="auto"/>
                <w:spacing w:val="-4"/>
                <w:sz w:val="24"/>
                <w:highlight w:val="none"/>
                <w:lang w:val="en-US" w:eastAsia="zh-CN"/>
              </w:rPr>
              <w:t>7</w:t>
            </w:r>
            <w:r>
              <w:rPr>
                <w:rFonts w:hint="default" w:ascii="Times New Roman" w:hAnsi="Times New Roman" w:eastAsia="宋体" w:cs="Times New Roman"/>
                <w:b/>
                <w:bCs/>
                <w:color w:val="auto"/>
                <w:spacing w:val="-4"/>
                <w:sz w:val="24"/>
                <w:highlight w:val="none"/>
              </w:rPr>
              <w:t xml:space="preserve">   回用水质标准</w:t>
            </w:r>
          </w:p>
          <w:tbl>
            <w:tblPr>
              <w:tblStyle w:val="21"/>
              <w:tblW w:w="849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76"/>
              <w:gridCol w:w="3563"/>
              <w:gridCol w:w="1869"/>
              <w:gridCol w:w="16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76" w:type="dxa"/>
                  <w:noWrap w:val="0"/>
                  <w:vAlign w:val="center"/>
                </w:tcPr>
                <w:p>
                  <w:pPr>
                    <w:widowControl/>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类别</w:t>
                  </w:r>
                </w:p>
              </w:tc>
              <w:tc>
                <w:tcPr>
                  <w:tcW w:w="3563" w:type="dxa"/>
                  <w:noWrap w:val="0"/>
                  <w:vAlign w:val="center"/>
                </w:tcPr>
                <w:p>
                  <w:pPr>
                    <w:widowControl/>
                    <w:jc w:val="center"/>
                    <w:rPr>
                      <w:rFonts w:hint="default" w:ascii="Times New Roman" w:hAnsi="Times New Roman" w:eastAsia="宋体" w:cs="Times New Roman"/>
                      <w:b/>
                      <w:color w:val="auto"/>
                      <w:kern w:val="0"/>
                      <w:highlight w:val="none"/>
                    </w:rPr>
                  </w:pPr>
                  <w:r>
                    <w:rPr>
                      <w:rFonts w:hint="default" w:ascii="Times New Roman" w:hAnsi="Times New Roman" w:eastAsia="宋体" w:cs="Times New Roman"/>
                      <w:b/>
                      <w:color w:val="auto"/>
                      <w:kern w:val="0"/>
                      <w:highlight w:val="none"/>
                    </w:rPr>
                    <w:t>执行标准</w:t>
                  </w:r>
                </w:p>
              </w:tc>
              <w:tc>
                <w:tcPr>
                  <w:tcW w:w="1869" w:type="dxa"/>
                  <w:noWrap w:val="0"/>
                  <w:vAlign w:val="center"/>
                </w:tcPr>
                <w:p>
                  <w:pPr>
                    <w:adjustRightInd w:val="0"/>
                    <w:snapToGrid w:val="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污染物指标</w:t>
                  </w:r>
                </w:p>
              </w:tc>
              <w:tc>
                <w:tcPr>
                  <w:tcW w:w="1685" w:type="dxa"/>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Cs w:val="21"/>
                      <w:highlight w:val="none"/>
                    </w:rPr>
                    <w:t>标准限值mg/L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76" w:type="dxa"/>
                  <w:vMerge w:val="restart"/>
                  <w:noWrap w:val="0"/>
                  <w:vAlign w:val="center"/>
                </w:tcPr>
                <w:p>
                  <w:pPr>
                    <w:widowControl/>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回用水标准</w:t>
                  </w:r>
                </w:p>
              </w:tc>
              <w:tc>
                <w:tcPr>
                  <w:tcW w:w="3563" w:type="dxa"/>
                  <w:vMerge w:val="restart"/>
                  <w:noWrap w:val="0"/>
                  <w:vAlign w:val="center"/>
                </w:tcPr>
                <w:p>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highlight w:val="none"/>
                    </w:rPr>
                    <w:t>《城市污水再生利用 工业用水水质》（GB/T19923-2005）</w:t>
                  </w:r>
                </w:p>
              </w:tc>
              <w:tc>
                <w:tcPr>
                  <w:tcW w:w="1869" w:type="dxa"/>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p>
              </w:tc>
              <w:tc>
                <w:tcPr>
                  <w:tcW w:w="1685" w:type="dxa"/>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76" w:type="dxa"/>
                  <w:vMerge w:val="continue"/>
                  <w:noWrap w:val="0"/>
                  <w:vAlign w:val="center"/>
                </w:tcPr>
                <w:p>
                  <w:pPr>
                    <w:widowControl/>
                    <w:jc w:val="left"/>
                    <w:rPr>
                      <w:rFonts w:hint="default" w:ascii="Times New Roman" w:hAnsi="Times New Roman" w:eastAsia="宋体" w:cs="Times New Roman"/>
                      <w:color w:val="auto"/>
                      <w:szCs w:val="21"/>
                      <w:highlight w:val="none"/>
                    </w:rPr>
                  </w:pPr>
                </w:p>
              </w:tc>
              <w:tc>
                <w:tcPr>
                  <w:tcW w:w="3563" w:type="dxa"/>
                  <w:vMerge w:val="continue"/>
                  <w:noWrap w:val="0"/>
                  <w:vAlign w:val="center"/>
                </w:tcPr>
                <w:p>
                  <w:pPr>
                    <w:widowControl/>
                    <w:jc w:val="left"/>
                    <w:rPr>
                      <w:rFonts w:hint="default" w:ascii="Times New Roman" w:hAnsi="Times New Roman" w:eastAsia="宋体" w:cs="Times New Roman"/>
                      <w:color w:val="auto"/>
                      <w:kern w:val="0"/>
                      <w:szCs w:val="21"/>
                      <w:highlight w:val="none"/>
                    </w:rPr>
                  </w:pPr>
                </w:p>
              </w:tc>
              <w:tc>
                <w:tcPr>
                  <w:tcW w:w="1869" w:type="dxa"/>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p>
              </w:tc>
              <w:tc>
                <w:tcPr>
                  <w:tcW w:w="1685" w:type="dxa"/>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76" w:type="dxa"/>
                  <w:vMerge w:val="continue"/>
                  <w:noWrap w:val="0"/>
                  <w:vAlign w:val="center"/>
                </w:tcPr>
                <w:p>
                  <w:pPr>
                    <w:widowControl/>
                    <w:jc w:val="left"/>
                    <w:rPr>
                      <w:rFonts w:hint="default" w:ascii="Times New Roman" w:hAnsi="Times New Roman" w:eastAsia="宋体" w:cs="Times New Roman"/>
                      <w:color w:val="auto"/>
                      <w:szCs w:val="21"/>
                      <w:highlight w:val="none"/>
                    </w:rPr>
                  </w:pPr>
                </w:p>
              </w:tc>
              <w:tc>
                <w:tcPr>
                  <w:tcW w:w="3563" w:type="dxa"/>
                  <w:vMerge w:val="continue"/>
                  <w:noWrap w:val="0"/>
                  <w:vAlign w:val="center"/>
                </w:tcPr>
                <w:p>
                  <w:pPr>
                    <w:widowControl/>
                    <w:jc w:val="left"/>
                    <w:rPr>
                      <w:rFonts w:hint="default" w:ascii="Times New Roman" w:hAnsi="Times New Roman" w:eastAsia="宋体" w:cs="Times New Roman"/>
                      <w:color w:val="auto"/>
                      <w:kern w:val="0"/>
                      <w:szCs w:val="21"/>
                      <w:highlight w:val="none"/>
                    </w:rPr>
                  </w:pPr>
                </w:p>
              </w:tc>
              <w:tc>
                <w:tcPr>
                  <w:tcW w:w="1869" w:type="dxa"/>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石油类</w:t>
                  </w:r>
                </w:p>
              </w:tc>
              <w:tc>
                <w:tcPr>
                  <w:tcW w:w="1685" w:type="dxa"/>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r>
          </w:tbl>
          <w:p>
            <w:pPr>
              <w:adjustRightInd w:val="0"/>
              <w:snapToGrid w:val="0"/>
              <w:spacing w:line="500" w:lineRule="exact"/>
              <w:ind w:firstLine="482" w:firstLineChars="200"/>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（2）噪声污染控制标准</w:t>
            </w:r>
          </w:p>
          <w:p>
            <w:pPr>
              <w:adjustRightInd w:val="0"/>
              <w:snapToGrid w:val="0"/>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厂界执行《工业企业厂界环境噪声排放标准》(GB12348-2008)中3类标准。</w:t>
            </w:r>
          </w:p>
          <w:p>
            <w:pPr>
              <w:spacing w:line="500" w:lineRule="exact"/>
              <w:ind w:left="422"/>
              <w:jc w:val="center"/>
              <w:rPr>
                <w:rFonts w:hint="default" w:ascii="Times New Roman" w:hAnsi="Times New Roman" w:eastAsia="宋体" w:cs="Times New Roman"/>
                <w:b/>
                <w:color w:val="auto"/>
                <w:sz w:val="24"/>
                <w:highlight w:val="none"/>
              </w:rPr>
            </w:pPr>
            <w:bookmarkStart w:id="12" w:name="_Toc451166466"/>
            <w:bookmarkEnd w:id="12"/>
            <w:r>
              <w:rPr>
                <w:rFonts w:hint="default" w:ascii="Times New Roman" w:hAnsi="Times New Roman" w:eastAsia="宋体" w:cs="Times New Roman"/>
                <w:b/>
                <w:color w:val="auto"/>
                <w:sz w:val="24"/>
                <w:highlight w:val="none"/>
              </w:rPr>
              <w:t>表3-1</w:t>
            </w: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 xml:space="preserve">   噪声排放标准限值</w:t>
            </w:r>
          </w:p>
          <w:tbl>
            <w:tblPr>
              <w:tblStyle w:val="21"/>
              <w:tblW w:w="8493" w:type="dxa"/>
              <w:jc w:val="center"/>
              <w:tblLayout w:type="autofit"/>
              <w:tblCellMar>
                <w:top w:w="0" w:type="dxa"/>
                <w:left w:w="108" w:type="dxa"/>
                <w:bottom w:w="0" w:type="dxa"/>
                <w:right w:w="108" w:type="dxa"/>
              </w:tblCellMar>
            </w:tblPr>
            <w:tblGrid>
              <w:gridCol w:w="1600"/>
              <w:gridCol w:w="2626"/>
              <w:gridCol w:w="1114"/>
              <w:gridCol w:w="1096"/>
              <w:gridCol w:w="960"/>
              <w:gridCol w:w="1097"/>
            </w:tblGrid>
            <w:tr>
              <w:tblPrEx>
                <w:tblCellMar>
                  <w:top w:w="0" w:type="dxa"/>
                  <w:left w:w="108" w:type="dxa"/>
                  <w:bottom w:w="0" w:type="dxa"/>
                  <w:right w:w="108" w:type="dxa"/>
                </w:tblCellMar>
              </w:tblPrEx>
              <w:trPr>
                <w:cantSplit/>
                <w:jc w:val="center"/>
              </w:trPr>
              <w:tc>
                <w:tcPr>
                  <w:tcW w:w="1600" w:type="dxa"/>
                  <w:vMerge w:val="restart"/>
                  <w:tcBorders>
                    <w:top w:val="single" w:color="auto" w:sz="12"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厂界名</w:t>
                  </w:r>
                </w:p>
              </w:tc>
              <w:tc>
                <w:tcPr>
                  <w:tcW w:w="2626" w:type="dxa"/>
                  <w:vMerge w:val="restar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执行标准</w:t>
                  </w:r>
                </w:p>
              </w:tc>
              <w:tc>
                <w:tcPr>
                  <w:tcW w:w="1114" w:type="dxa"/>
                  <w:vMerge w:val="restar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级别</w:t>
                  </w:r>
                </w:p>
              </w:tc>
              <w:tc>
                <w:tcPr>
                  <w:tcW w:w="1096" w:type="dxa"/>
                  <w:vMerge w:val="restar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单位</w:t>
                  </w:r>
                </w:p>
              </w:tc>
              <w:tc>
                <w:tcPr>
                  <w:tcW w:w="2057" w:type="dxa"/>
                  <w:gridSpan w:val="2"/>
                  <w:tcBorders>
                    <w:top w:val="single" w:color="auto" w:sz="12" w:space="0"/>
                    <w:left w:val="single" w:color="auto" w:sz="4" w:space="0"/>
                    <w:bottom w:val="single" w:color="auto" w:sz="4" w:space="0"/>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标准限值</w:t>
                  </w:r>
                </w:p>
              </w:tc>
            </w:tr>
            <w:tr>
              <w:tblPrEx>
                <w:tblCellMar>
                  <w:top w:w="0" w:type="dxa"/>
                  <w:left w:w="108" w:type="dxa"/>
                  <w:bottom w:w="0" w:type="dxa"/>
                  <w:right w:w="108" w:type="dxa"/>
                </w:tblCellMar>
              </w:tblPrEx>
              <w:trPr>
                <w:cantSplit/>
                <w:jc w:val="center"/>
              </w:trPr>
              <w:tc>
                <w:tcPr>
                  <w:tcW w:w="1600" w:type="dxa"/>
                  <w:vMerge w:val="continue"/>
                  <w:tcBorders>
                    <w:top w:val="single" w:color="auto" w:sz="12" w:space="0"/>
                    <w:bottom w:val="single" w:color="auto" w:sz="4" w:space="0"/>
                    <w:right w:val="single" w:color="auto" w:sz="4" w:space="0"/>
                  </w:tcBorders>
                  <w:noWrap w:val="0"/>
                  <w:vAlign w:val="center"/>
                </w:tcPr>
                <w:p>
                  <w:pPr>
                    <w:widowControl/>
                    <w:jc w:val="left"/>
                    <w:rPr>
                      <w:rFonts w:hint="default" w:ascii="Times New Roman" w:hAnsi="Times New Roman" w:eastAsia="宋体" w:cs="Times New Roman"/>
                      <w:b/>
                      <w:bCs/>
                      <w:color w:val="auto"/>
                      <w:szCs w:val="21"/>
                      <w:highlight w:val="none"/>
                    </w:rPr>
                  </w:pPr>
                </w:p>
              </w:tc>
              <w:tc>
                <w:tcPr>
                  <w:tcW w:w="2626"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宋体" w:cs="Times New Roman"/>
                      <w:b/>
                      <w:bCs/>
                      <w:color w:val="auto"/>
                      <w:szCs w:val="21"/>
                      <w:highlight w:val="none"/>
                    </w:rPr>
                  </w:pPr>
                </w:p>
              </w:tc>
              <w:tc>
                <w:tcPr>
                  <w:tcW w:w="1114"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宋体" w:cs="Times New Roman"/>
                      <w:b/>
                      <w:bCs/>
                      <w:color w:val="auto"/>
                      <w:szCs w:val="21"/>
                      <w:highlight w:val="none"/>
                    </w:rPr>
                  </w:pPr>
                </w:p>
              </w:tc>
              <w:tc>
                <w:tcPr>
                  <w:tcW w:w="1096"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宋体" w:cs="Times New Roman"/>
                      <w:b/>
                      <w:bCs/>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昼间</w:t>
                  </w:r>
                </w:p>
              </w:tc>
              <w:tc>
                <w:tcPr>
                  <w:tcW w:w="1097"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夜间</w:t>
                  </w:r>
                </w:p>
              </w:tc>
            </w:tr>
            <w:tr>
              <w:tblPrEx>
                <w:tblCellMar>
                  <w:top w:w="0" w:type="dxa"/>
                  <w:left w:w="108" w:type="dxa"/>
                  <w:bottom w:w="0" w:type="dxa"/>
                  <w:right w:w="108" w:type="dxa"/>
                </w:tblCellMar>
              </w:tblPrEx>
              <w:trPr>
                <w:cantSplit/>
                <w:jc w:val="center"/>
              </w:trPr>
              <w:tc>
                <w:tcPr>
                  <w:tcW w:w="1600" w:type="dxa"/>
                  <w:tcBorders>
                    <w:top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厂界外1米</w:t>
                  </w:r>
                </w:p>
              </w:tc>
              <w:tc>
                <w:tcPr>
                  <w:tcW w:w="2626"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《工业企业厂界环境噪声排放标准》(GB12348-2008)</w:t>
                  </w:r>
                </w:p>
              </w:tc>
              <w:tc>
                <w:tcPr>
                  <w:tcW w:w="1114"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3类</w:t>
                  </w:r>
                </w:p>
              </w:tc>
              <w:tc>
                <w:tcPr>
                  <w:tcW w:w="1096"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dB(A)</w:t>
                  </w:r>
                </w:p>
              </w:tc>
              <w:tc>
                <w:tcPr>
                  <w:tcW w:w="960"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65</w:t>
                  </w:r>
                </w:p>
              </w:tc>
              <w:tc>
                <w:tcPr>
                  <w:tcW w:w="1097" w:type="dxa"/>
                  <w:tcBorders>
                    <w:top w:val="single" w:color="auto" w:sz="4" w:space="0"/>
                    <w:left w:val="single" w:color="auto" w:sz="4" w:space="0"/>
                    <w:bottom w:val="single" w:color="auto" w:sz="12"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55</w:t>
                  </w:r>
                </w:p>
              </w:tc>
            </w:tr>
          </w:tbl>
          <w:p>
            <w:pPr>
              <w:adjustRightInd w:val="0"/>
              <w:snapToGrid w:val="0"/>
              <w:spacing w:line="500" w:lineRule="exact"/>
              <w:ind w:firstLine="482" w:firstLineChars="200"/>
              <w:jc w:val="left"/>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（3）固体废物污染控制标准</w:t>
            </w:r>
          </w:p>
          <w:p>
            <w:pPr>
              <w:pStyle w:val="53"/>
              <w:ind w:firstLine="48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4"/>
                <w:highlight w:val="none"/>
              </w:rPr>
              <w:t>一般工业固废执行《一般工业固体废物贮存和填埋污染控制标准》（GB 18599-2020）；危险废物执行《危险废物贮存污染控制标准》（GB18597-2001）（2013年修订）、以及《省生态环境厅关于进一步加强危险废物污染防治工作的实施意见》（苏环办[2019]327号）等相关标准和法规的要求。</w:t>
            </w:r>
          </w:p>
        </w:tc>
      </w:tr>
    </w:tbl>
    <w:p>
      <w:pPr>
        <w:pStyle w:val="18"/>
        <w:jc w:val="center"/>
        <w:outlineLvl w:val="0"/>
        <w:rPr>
          <w:rFonts w:hint="default" w:ascii="Times New Roman" w:hAnsi="Times New Roman" w:eastAsia="宋体" w:cs="Times New Roman"/>
          <w:snapToGrid w:val="0"/>
          <w:color w:val="auto"/>
          <w:sz w:val="36"/>
          <w:szCs w:val="36"/>
          <w:highlight w:val="none"/>
        </w:rPr>
        <w:sectPr>
          <w:footerReference r:id="rId10" w:type="default"/>
          <w:pgSz w:w="11907" w:h="16840"/>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3" w:hRule="atLeast"/>
        </w:trPr>
        <w:tc>
          <w:tcPr>
            <w:tcW w:w="959" w:type="dxa"/>
            <w:noWrap w:val="0"/>
            <w:vAlign w:val="center"/>
          </w:tcPr>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rPr>
            </w:pPr>
            <w:bookmarkStart w:id="13" w:name="_Toc68247213"/>
            <w:r>
              <w:rPr>
                <w:rFonts w:hint="default" w:ascii="Times New Roman" w:hAnsi="Times New Roman" w:eastAsia="宋体" w:cs="Times New Roman"/>
                <w:snapToGrid w:val="0"/>
                <w:color w:val="auto"/>
                <w:szCs w:val="30"/>
                <w:highlight w:val="none"/>
              </w:rPr>
              <w:t>总量控制指标</w:t>
            </w:r>
          </w:p>
        </w:tc>
        <w:tc>
          <w:tcPr>
            <w:tcW w:w="13261" w:type="dxa"/>
            <w:noWrap w:val="0"/>
            <w:vAlign w:val="center"/>
          </w:tcPr>
          <w:p>
            <w:pPr>
              <w:autoSpaceDE w:val="0"/>
              <w:autoSpaceDN w:val="0"/>
              <w:adjustRightInd w:val="0"/>
              <w:snapToGrid w:val="0"/>
              <w:spacing w:line="50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本项目建设地所在区域属于“两控区”和太湖流域，属于《江苏省太湖水污染防治条例》中规定的</w:t>
            </w:r>
            <w:r>
              <w:rPr>
                <w:rFonts w:hint="default" w:ascii="Times New Roman" w:hAnsi="Times New Roman" w:eastAsia="宋体" w:cs="Times New Roman"/>
                <w:snapToGrid w:val="0"/>
                <w:color w:val="auto"/>
                <w:kern w:val="0"/>
                <w:sz w:val="24"/>
                <w:highlight w:val="none"/>
                <w:lang w:val="en-US" w:eastAsia="zh-Hans"/>
              </w:rPr>
              <w:t>三</w:t>
            </w:r>
            <w:r>
              <w:rPr>
                <w:rFonts w:hint="default" w:ascii="Times New Roman" w:hAnsi="Times New Roman" w:eastAsia="宋体" w:cs="Times New Roman"/>
                <w:snapToGrid w:val="0"/>
                <w:color w:val="auto"/>
                <w:kern w:val="0"/>
                <w:sz w:val="24"/>
                <w:highlight w:val="none"/>
              </w:rPr>
              <w:t>级保护区。</w:t>
            </w:r>
          </w:p>
          <w:p>
            <w:pPr>
              <w:autoSpaceDE w:val="0"/>
              <w:autoSpaceDN w:val="0"/>
              <w:adjustRightInd w:val="0"/>
              <w:snapToGrid w:val="0"/>
              <w:spacing w:line="500" w:lineRule="exact"/>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本项目新增废水污染物排放总量在无锡市高新水务有限公司</w:t>
            </w:r>
            <w:r>
              <w:rPr>
                <w:rFonts w:hint="default" w:ascii="Times New Roman" w:hAnsi="Times New Roman" w:eastAsia="宋体" w:cs="Times New Roman"/>
                <w:snapToGrid w:val="0"/>
                <w:color w:val="auto"/>
                <w:kern w:val="0"/>
                <w:sz w:val="24"/>
                <w:highlight w:val="none"/>
                <w:lang w:val="en-US" w:eastAsia="zh-CN"/>
              </w:rPr>
              <w:t>新城</w:t>
            </w:r>
            <w:r>
              <w:rPr>
                <w:rFonts w:hint="default" w:ascii="Times New Roman" w:hAnsi="Times New Roman" w:eastAsia="宋体" w:cs="Times New Roman"/>
                <w:snapToGrid w:val="0"/>
                <w:color w:val="auto"/>
                <w:kern w:val="0"/>
                <w:sz w:val="24"/>
                <w:highlight w:val="none"/>
              </w:rPr>
              <w:t>水处理厂内平衡</w:t>
            </w:r>
            <w:r>
              <w:rPr>
                <w:rFonts w:hint="default" w:ascii="Times New Roman" w:hAnsi="Times New Roman" w:eastAsia="宋体" w:cs="Times New Roman"/>
                <w:bCs/>
                <w:snapToGrid w:val="0"/>
                <w:color w:val="auto"/>
                <w:kern w:val="0"/>
                <w:sz w:val="24"/>
                <w:highlight w:val="none"/>
              </w:rPr>
              <w:t>；</w:t>
            </w:r>
          </w:p>
          <w:p>
            <w:pPr>
              <w:autoSpaceDE w:val="0"/>
              <w:autoSpaceDN w:val="0"/>
              <w:adjustRightInd w:val="0"/>
              <w:snapToGrid w:val="0"/>
              <w:spacing w:line="500" w:lineRule="exact"/>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本项目</w:t>
            </w:r>
            <w:r>
              <w:rPr>
                <w:rFonts w:hint="default" w:ascii="Times New Roman" w:hAnsi="Times New Roman" w:eastAsia="宋体" w:cs="Times New Roman"/>
                <w:bCs/>
                <w:snapToGrid w:val="0"/>
                <w:color w:val="auto"/>
                <w:kern w:val="0"/>
                <w:sz w:val="24"/>
                <w:highlight w:val="none"/>
                <w:lang w:val="en-US" w:eastAsia="zh-CN"/>
              </w:rPr>
              <w:t>建成后</w:t>
            </w:r>
            <w:r>
              <w:rPr>
                <w:rFonts w:hint="default" w:ascii="Times New Roman" w:hAnsi="Times New Roman" w:eastAsia="宋体" w:cs="Times New Roman"/>
                <w:bCs/>
                <w:snapToGrid w:val="0"/>
                <w:color w:val="auto"/>
                <w:kern w:val="0"/>
                <w:sz w:val="24"/>
                <w:highlight w:val="none"/>
              </w:rPr>
              <w:t>全厂废气污染物排放量不新增；</w:t>
            </w:r>
          </w:p>
          <w:p>
            <w:pPr>
              <w:autoSpaceDE w:val="0"/>
              <w:autoSpaceDN w:val="0"/>
              <w:adjustRightInd w:val="0"/>
              <w:snapToGrid w:val="0"/>
              <w:spacing w:line="50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固废零排放。</w:t>
            </w:r>
          </w:p>
          <w:p>
            <w:pPr>
              <w:adjustRightInd w:val="0"/>
              <w:snapToGrid w:val="0"/>
              <w:spacing w:line="500" w:lineRule="exact"/>
              <w:ind w:left="422"/>
              <w:jc w:val="center"/>
              <w:rPr>
                <w:rFonts w:hint="default" w:ascii="Times New Roman" w:hAnsi="Times New Roman" w:eastAsia="宋体" w:cs="Times New Roman"/>
                <w:b/>
                <w:bCs/>
                <w:color w:val="auto"/>
                <w:spacing w:val="-4"/>
                <w:sz w:val="24"/>
                <w:highlight w:val="none"/>
              </w:rPr>
            </w:pPr>
            <w:r>
              <w:rPr>
                <w:rFonts w:hint="default" w:ascii="Times New Roman" w:hAnsi="Times New Roman" w:eastAsia="宋体" w:cs="Times New Roman"/>
                <w:b/>
                <w:bCs/>
                <w:color w:val="auto"/>
                <w:spacing w:val="-4"/>
                <w:sz w:val="24"/>
                <w:highlight w:val="none"/>
              </w:rPr>
              <w:t>表3-</w:t>
            </w:r>
            <w:r>
              <w:rPr>
                <w:rFonts w:hint="eastAsia" w:cs="Times New Roman"/>
                <w:b/>
                <w:bCs/>
                <w:color w:val="auto"/>
                <w:spacing w:val="-4"/>
                <w:sz w:val="24"/>
                <w:highlight w:val="none"/>
                <w:lang w:val="en-US" w:eastAsia="zh-CN"/>
              </w:rPr>
              <w:t>8</w:t>
            </w:r>
            <w:r>
              <w:rPr>
                <w:rFonts w:hint="default" w:ascii="Times New Roman" w:hAnsi="Times New Roman" w:eastAsia="宋体" w:cs="Times New Roman"/>
                <w:b/>
                <w:bCs/>
                <w:color w:val="auto"/>
                <w:spacing w:val="-4"/>
                <w:sz w:val="24"/>
                <w:highlight w:val="none"/>
              </w:rPr>
              <w:t xml:space="preserve">    全厂污染物排总量申请指标(t/a) </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22"/>
              <w:gridCol w:w="642"/>
              <w:gridCol w:w="84"/>
              <w:gridCol w:w="1067"/>
              <w:gridCol w:w="1563"/>
              <w:gridCol w:w="1109"/>
              <w:gridCol w:w="1109"/>
              <w:gridCol w:w="1117"/>
              <w:gridCol w:w="929"/>
              <w:gridCol w:w="1263"/>
              <w:gridCol w:w="1263"/>
              <w:gridCol w:w="1269"/>
              <w:gridCol w:w="11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48" w:hRule="atLeast"/>
                <w:jc w:val="center"/>
              </w:trPr>
              <w:tc>
                <w:tcPr>
                  <w:tcW w:w="887" w:type="pct"/>
                  <w:gridSpan w:val="4"/>
                  <w:vMerge w:val="restart"/>
                  <w:noWrap w:val="0"/>
                  <w:vAlign w:val="center"/>
                </w:tcPr>
                <w:p>
                  <w:pPr>
                    <w:widowControl/>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污染物名称</w:t>
                  </w:r>
                </w:p>
              </w:tc>
              <w:tc>
                <w:tcPr>
                  <w:tcW w:w="599" w:type="pct"/>
                  <w:vMerge w:val="restart"/>
                  <w:noWrap w:val="0"/>
                  <w:vAlign w:val="center"/>
                </w:tcPr>
                <w:p>
                  <w:pPr>
                    <w:widowControl/>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原项目（新华路厂区）实际排放量</w:t>
                  </w:r>
                </w:p>
              </w:tc>
              <w:tc>
                <w:tcPr>
                  <w:tcW w:w="1278" w:type="pct"/>
                  <w:gridSpan w:val="3"/>
                  <w:noWrap w:val="0"/>
                  <w:vAlign w:val="center"/>
                </w:tcPr>
                <w:p>
                  <w:pPr>
                    <w:widowControl/>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rPr>
                    <w:t>本项目</w:t>
                  </w:r>
                  <w:r>
                    <w:rPr>
                      <w:rFonts w:hint="default" w:ascii="Times New Roman" w:hAnsi="Times New Roman" w:eastAsia="宋体" w:cs="Times New Roman"/>
                      <w:b/>
                      <w:color w:val="auto"/>
                      <w:szCs w:val="21"/>
                      <w:highlight w:val="none"/>
                      <w:lang w:eastAsia="zh-CN"/>
                    </w:rPr>
                    <w:t>（</w:t>
                  </w:r>
                  <w:r>
                    <w:rPr>
                      <w:rFonts w:hint="default" w:ascii="Times New Roman" w:hAnsi="Times New Roman" w:eastAsia="宋体" w:cs="Times New Roman"/>
                      <w:b/>
                      <w:color w:val="auto"/>
                      <w:szCs w:val="21"/>
                      <w:highlight w:val="none"/>
                      <w:lang w:val="en-US" w:eastAsia="zh-CN"/>
                    </w:rPr>
                    <w:t>新华路厂区）</w:t>
                  </w:r>
                </w:p>
              </w:tc>
              <w:tc>
                <w:tcPr>
                  <w:tcW w:w="356" w:type="pct"/>
                  <w:vMerge w:val="restart"/>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bCs/>
                      <w:color w:val="auto"/>
                      <w:szCs w:val="21"/>
                      <w:highlight w:val="none"/>
                    </w:rPr>
                    <w:t>新华路厂区“以新带老”削减量</w:t>
                  </w:r>
                </w:p>
              </w:tc>
              <w:tc>
                <w:tcPr>
                  <w:tcW w:w="1454" w:type="pct"/>
                  <w:gridSpan w:val="3"/>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bCs/>
                      <w:color w:val="auto"/>
                      <w:szCs w:val="21"/>
                      <w:highlight w:val="none"/>
                    </w:rPr>
                    <w:t>全厂排放量</w:t>
                  </w:r>
                </w:p>
              </w:tc>
              <w:tc>
                <w:tcPr>
                  <w:tcW w:w="424"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全厂排放</w:t>
                  </w:r>
                </w:p>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bCs/>
                      <w:color w:val="auto"/>
                      <w:szCs w:val="21"/>
                      <w:highlight w:val="none"/>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47" w:hRule="atLeast"/>
                <w:jc w:val="center"/>
              </w:trPr>
              <w:tc>
                <w:tcPr>
                  <w:tcW w:w="887" w:type="pct"/>
                  <w:gridSpan w:val="4"/>
                  <w:vMerge w:val="continue"/>
                  <w:noWrap w:val="0"/>
                  <w:vAlign w:val="center"/>
                </w:tcPr>
                <w:p>
                  <w:pPr>
                    <w:widowControl/>
                    <w:adjustRightInd w:val="0"/>
                    <w:snapToGrid w:val="0"/>
                    <w:jc w:val="center"/>
                    <w:rPr>
                      <w:rFonts w:hint="default" w:ascii="Times New Roman" w:hAnsi="Times New Roman" w:eastAsia="宋体" w:cs="Times New Roman"/>
                      <w:b/>
                      <w:color w:val="auto"/>
                      <w:szCs w:val="21"/>
                      <w:highlight w:val="none"/>
                    </w:rPr>
                  </w:pPr>
                </w:p>
              </w:tc>
              <w:tc>
                <w:tcPr>
                  <w:tcW w:w="599" w:type="pct"/>
                  <w:vMerge w:val="continue"/>
                  <w:noWrap w:val="0"/>
                  <w:vAlign w:val="center"/>
                </w:tcPr>
                <w:p>
                  <w:pPr>
                    <w:widowControl/>
                    <w:adjustRightInd w:val="0"/>
                    <w:snapToGrid w:val="0"/>
                    <w:jc w:val="center"/>
                    <w:rPr>
                      <w:rFonts w:hint="default" w:ascii="Times New Roman" w:hAnsi="Times New Roman" w:eastAsia="宋体" w:cs="Times New Roman"/>
                      <w:b/>
                      <w:color w:val="auto"/>
                      <w:szCs w:val="21"/>
                      <w:highlight w:val="none"/>
                    </w:rPr>
                  </w:pPr>
                </w:p>
              </w:tc>
              <w:tc>
                <w:tcPr>
                  <w:tcW w:w="425" w:type="pct"/>
                  <w:noWrap w:val="0"/>
                  <w:vAlign w:val="center"/>
                </w:tcPr>
                <w:p>
                  <w:pPr>
                    <w:widowControl/>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产生量</w:t>
                  </w:r>
                </w:p>
              </w:tc>
              <w:tc>
                <w:tcPr>
                  <w:tcW w:w="425" w:type="pct"/>
                  <w:noWrap w:val="0"/>
                  <w:vAlign w:val="center"/>
                </w:tcPr>
                <w:p>
                  <w:pPr>
                    <w:widowControl/>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削减量</w:t>
                  </w:r>
                </w:p>
              </w:tc>
              <w:tc>
                <w:tcPr>
                  <w:tcW w:w="428" w:type="pct"/>
                  <w:noWrap w:val="0"/>
                  <w:vAlign w:val="center"/>
                </w:tcPr>
                <w:p>
                  <w:pPr>
                    <w:widowControl/>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排放量</w:t>
                  </w:r>
                </w:p>
              </w:tc>
              <w:tc>
                <w:tcPr>
                  <w:tcW w:w="356"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rPr>
                  </w:pPr>
                </w:p>
              </w:tc>
              <w:tc>
                <w:tcPr>
                  <w:tcW w:w="484"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新华路厂区</w:t>
                  </w:r>
                </w:p>
              </w:tc>
              <w:tc>
                <w:tcPr>
                  <w:tcW w:w="484"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里河路厂区</w:t>
                  </w:r>
                </w:p>
              </w:tc>
              <w:tc>
                <w:tcPr>
                  <w:tcW w:w="486"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合计</w:t>
                  </w:r>
                </w:p>
              </w:tc>
              <w:tc>
                <w:tcPr>
                  <w:tcW w:w="424"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w:t>
                  </w:r>
                </w:p>
              </w:tc>
              <w:tc>
                <w:tcPr>
                  <w:tcW w:w="246" w:type="pct"/>
                  <w:vMerge w:val="restart"/>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有组织</w:t>
                  </w:r>
                </w:p>
              </w:tc>
              <w:tc>
                <w:tcPr>
                  <w:tcW w:w="441" w:type="pct"/>
                  <w:gridSpan w:val="2"/>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油烟</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0.054</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0.054</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0.054</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46" w:type="pct"/>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441" w:type="pct"/>
                  <w:gridSpan w:val="2"/>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铬酸雾</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0.00252</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0.00252</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0.00252</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46" w:type="pct"/>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441" w:type="pct"/>
                  <w:gridSpan w:val="2"/>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非甲烷总烃</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3.6995</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3.6995</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0.1184</w:t>
                  </w:r>
                </w:p>
              </w:tc>
              <w:tc>
                <w:tcPr>
                  <w:tcW w:w="4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3.8179</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46" w:type="pct"/>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441" w:type="pct"/>
                  <w:gridSpan w:val="2"/>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颗粒物</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0.1877</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0.1877</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0.1877</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46" w:type="pct"/>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441" w:type="pct"/>
                  <w:gridSpan w:val="2"/>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烟尘</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0.027</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0.027</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0.027</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46" w:type="pct"/>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441" w:type="pct"/>
                  <w:gridSpan w:val="2"/>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SO</w:t>
                  </w:r>
                  <w:r>
                    <w:rPr>
                      <w:rFonts w:hint="default" w:ascii="Times New Roman" w:hAnsi="Times New Roman" w:eastAsia="宋体" w:cs="Times New Roman"/>
                      <w:color w:val="auto"/>
                      <w:szCs w:val="21"/>
                      <w:highlight w:val="none"/>
                      <w:vertAlign w:val="subscript"/>
                    </w:rPr>
                    <w:t>2</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1"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46" w:type="pct"/>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441" w:type="pct"/>
                  <w:gridSpan w:val="2"/>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6"/>
                      <w:szCs w:val="21"/>
                      <w:highlight w:val="none"/>
                    </w:rPr>
                    <w:t>NO</w:t>
                  </w:r>
                  <w:r>
                    <w:rPr>
                      <w:rFonts w:hint="default" w:ascii="Times New Roman" w:hAnsi="Times New Roman" w:eastAsia="宋体" w:cs="Times New Roman"/>
                      <w:color w:val="auto"/>
                      <w:spacing w:val="6"/>
                      <w:szCs w:val="21"/>
                      <w:highlight w:val="none"/>
                      <w:vertAlign w:val="subscript"/>
                    </w:rPr>
                    <w:t>x</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0.166</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0.166</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0.166</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46" w:type="pct"/>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441" w:type="pct"/>
                  <w:gridSpan w:val="2"/>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H</w:t>
                  </w:r>
                  <w:r>
                    <w:rPr>
                      <w:rFonts w:hint="default" w:ascii="Times New Roman" w:hAnsi="Times New Roman" w:eastAsia="宋体" w:cs="Times New Roman"/>
                      <w:bCs/>
                      <w:color w:val="auto"/>
                      <w:szCs w:val="21"/>
                      <w:highlight w:val="none"/>
                      <w:vertAlign w:val="subscript"/>
                    </w:rPr>
                    <w:t>2</w:t>
                  </w:r>
                  <w:r>
                    <w:rPr>
                      <w:rFonts w:hint="default" w:ascii="Times New Roman" w:hAnsi="Times New Roman" w:eastAsia="宋体" w:cs="Times New Roman"/>
                      <w:bCs/>
                      <w:color w:val="auto"/>
                      <w:szCs w:val="21"/>
                      <w:highlight w:val="none"/>
                    </w:rPr>
                    <w:t>S</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0.037</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0.037</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0.037</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46" w:type="pct"/>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vertAlign w:val="subscript"/>
                    </w:rPr>
                  </w:pPr>
                </w:p>
              </w:tc>
              <w:tc>
                <w:tcPr>
                  <w:tcW w:w="441" w:type="pct"/>
                  <w:gridSpan w:val="2"/>
                  <w:noWrap w:val="0"/>
                  <w:vAlign w:val="center"/>
                </w:tcPr>
                <w:p>
                  <w:pPr>
                    <w:adjustRightInd w:val="0"/>
                    <w:snapToGrid w:val="0"/>
                    <w:jc w:val="center"/>
                    <w:rPr>
                      <w:rFonts w:hint="default" w:ascii="Times New Roman" w:hAnsi="Times New Roman" w:eastAsia="宋体" w:cs="Times New Roman"/>
                      <w:bCs/>
                      <w:color w:val="auto"/>
                      <w:szCs w:val="21"/>
                      <w:highlight w:val="none"/>
                      <w:vertAlign w:val="subscript"/>
                    </w:rPr>
                  </w:pPr>
                  <w:r>
                    <w:rPr>
                      <w:rFonts w:hint="default" w:ascii="Times New Roman" w:hAnsi="Times New Roman" w:eastAsia="宋体" w:cs="Times New Roman"/>
                      <w:bCs/>
                      <w:color w:val="auto"/>
                      <w:szCs w:val="21"/>
                      <w:highlight w:val="none"/>
                    </w:rPr>
                    <w:t>NH</w:t>
                  </w:r>
                  <w:r>
                    <w:rPr>
                      <w:rFonts w:hint="default" w:ascii="Times New Roman" w:hAnsi="Times New Roman" w:eastAsia="宋体" w:cs="Times New Roman"/>
                      <w:bCs/>
                      <w:color w:val="auto"/>
                      <w:szCs w:val="21"/>
                      <w:highlight w:val="none"/>
                      <w:vertAlign w:val="subscript"/>
                    </w:rPr>
                    <w:t>3</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0.034</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2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3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0.034</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0.034</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46" w:type="pct"/>
                  <w:vMerge w:val="restart"/>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无组织</w:t>
                  </w:r>
                </w:p>
              </w:tc>
              <w:tc>
                <w:tcPr>
                  <w:tcW w:w="441" w:type="pct"/>
                  <w:gridSpan w:val="2"/>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非甲烷总烃</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0.7896</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3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0.7896</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0.0504</w:t>
                  </w:r>
                </w:p>
              </w:tc>
              <w:tc>
                <w:tcPr>
                  <w:tcW w:w="4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0.84</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46" w:type="pct"/>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441" w:type="pct"/>
                  <w:gridSpan w:val="2"/>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0.00001</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3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0.00001</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0.0035</w:t>
                  </w:r>
                </w:p>
              </w:tc>
              <w:tc>
                <w:tcPr>
                  <w:tcW w:w="4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0.00351</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46" w:type="pct"/>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441" w:type="pct"/>
                  <w:gridSpan w:val="2"/>
                  <w:noWrap w:val="0"/>
                  <w:vAlign w:val="center"/>
                </w:tcPr>
                <w:p>
                  <w:pPr>
                    <w:widowControl/>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硫化氢</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3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4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46" w:type="pct"/>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441" w:type="pct"/>
                  <w:gridSpan w:val="2"/>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颗粒物</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0.0699</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3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0.0699</w:t>
                  </w:r>
                </w:p>
              </w:tc>
              <w:tc>
                <w:tcPr>
                  <w:tcW w:w="4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48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0.0699</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887" w:type="pct"/>
                  <w:gridSpan w:val="4"/>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污染物名称</w:t>
                  </w:r>
                </w:p>
              </w:tc>
              <w:tc>
                <w:tcPr>
                  <w:tcW w:w="599" w:type="pct"/>
                  <w:noWrap w:val="0"/>
                  <w:vAlign w:val="center"/>
                </w:tcPr>
                <w:p>
                  <w:pPr>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bCs/>
                      <w:color w:val="auto"/>
                      <w:szCs w:val="21"/>
                      <w:highlight w:val="none"/>
                    </w:rPr>
                    <w:t>原项目</w:t>
                  </w:r>
                  <w:r>
                    <w:rPr>
                      <w:rFonts w:hint="default" w:cs="Times New Roman"/>
                      <w:bCs/>
                      <w:color w:val="auto"/>
                      <w:szCs w:val="21"/>
                      <w:highlight w:val="none"/>
                    </w:rPr>
                    <w:t>（</w:t>
                  </w:r>
                  <w:r>
                    <w:rPr>
                      <w:rFonts w:hint="eastAsia" w:cs="Times New Roman"/>
                      <w:bCs/>
                      <w:color w:val="auto"/>
                      <w:szCs w:val="21"/>
                      <w:highlight w:val="none"/>
                      <w:lang w:val="en-US" w:eastAsia="zh-Hans"/>
                    </w:rPr>
                    <w:t>新华路厂区</w:t>
                  </w:r>
                  <w:r>
                    <w:rPr>
                      <w:rFonts w:hint="default" w:cs="Times New Roman"/>
                      <w:bCs/>
                      <w:color w:val="auto"/>
                      <w:szCs w:val="21"/>
                      <w:highlight w:val="none"/>
                      <w:lang w:eastAsia="zh-Hans"/>
                    </w:rPr>
                    <w:t>）</w:t>
                  </w:r>
                  <w:r>
                    <w:rPr>
                      <w:rFonts w:hint="default" w:ascii="Times New Roman" w:hAnsi="Times New Roman" w:eastAsia="宋体" w:cs="Times New Roman"/>
                      <w:bCs/>
                      <w:color w:val="auto"/>
                      <w:szCs w:val="21"/>
                      <w:highlight w:val="none"/>
                    </w:rPr>
                    <w:t>排放量</w:t>
                  </w:r>
                </w:p>
              </w:tc>
              <w:tc>
                <w:tcPr>
                  <w:tcW w:w="425"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本项目产生量</w:t>
                  </w:r>
                </w:p>
              </w:tc>
              <w:tc>
                <w:tcPr>
                  <w:tcW w:w="425"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本项目削减量</w:t>
                  </w:r>
                </w:p>
              </w:tc>
              <w:tc>
                <w:tcPr>
                  <w:tcW w:w="428"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本项目接管量</w:t>
                  </w:r>
                </w:p>
              </w:tc>
              <w:tc>
                <w:tcPr>
                  <w:tcW w:w="3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“以新带老”削减量</w:t>
                  </w:r>
                </w:p>
              </w:tc>
              <w:tc>
                <w:tcPr>
                  <w:tcW w:w="484" w:type="pct"/>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新华路厂区总量</w:t>
                  </w:r>
                </w:p>
              </w:tc>
              <w:tc>
                <w:tcPr>
                  <w:tcW w:w="484" w:type="pct"/>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里河路厂区总量</w:t>
                  </w:r>
                </w:p>
              </w:tc>
              <w:tc>
                <w:tcPr>
                  <w:tcW w:w="48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全厂总量</w:t>
                  </w:r>
                </w:p>
              </w:tc>
              <w:tc>
                <w:tcPr>
                  <w:tcW w:w="424"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排放增减量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废水（接管考核量）</w:t>
                  </w:r>
                </w:p>
              </w:tc>
              <w:tc>
                <w:tcPr>
                  <w:tcW w:w="278" w:type="pct"/>
                  <w:gridSpan w:val="2"/>
                  <w:vMerge w:val="restart"/>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w:t>
                  </w:r>
                </w:p>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w:t>
                  </w: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废水量</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219686</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640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640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20520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199806</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7854</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207660</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74.3675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0.32</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0.096</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0.224</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6.7720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67.8195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2.9453</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70.7648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-6.5480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41.2998</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0.256</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0.1024</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0.1536</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3.6287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37.8247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1.885</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39.7097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-3.4751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氨氮</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5.4117</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0.0256</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0.0256</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0.4889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4.9484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0.3142</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5.2626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-0.4633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总磷</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0.7974</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0.0032</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0.0032</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0.0730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0.7276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0.0393</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0.7669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-0.0698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总氮</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7.9901</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0.0384</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0.0384</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0.7208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7.3077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0.4712</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7.7789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-0.6824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动植物油</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5.757</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0.0512</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0.0512</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5.8082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5.8082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0.0512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石油类</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0.9575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0.9575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0.9575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restart"/>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w:t>
                  </w:r>
                </w:p>
                <w:p>
                  <w:pPr>
                    <w:widowControl/>
                    <w:adjustRightInd w:val="0"/>
                    <w:snapToGrid w:val="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废水量</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28742.9</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1918.4</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26827.5</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8404</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35231.5</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-1915.4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2.5266</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0.0003 </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0.0003 </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0.8237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1.7032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0.8404</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2.5436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-0.8234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3.1464</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0.0004 </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0.0004</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1.0632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2.0836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0.6723</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2.7559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-1.0628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restar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合计</w:t>
                  </w: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废水量</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248428.9</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643</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643</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22438.4</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226633.5</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16258</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242891.5</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-21795.4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76.8941</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0.3203 </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0.096</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0.224</w:t>
                  </w:r>
                  <w:r>
                    <w:rPr>
                      <w:rFonts w:hint="eastAsia" w:cs="Times New Roman"/>
                      <w:i w:val="0"/>
                      <w:iCs w:val="0"/>
                      <w:color w:val="000000"/>
                      <w:kern w:val="0"/>
                      <w:sz w:val="22"/>
                      <w:szCs w:val="22"/>
                      <w:u w:val="none"/>
                      <w:lang w:val="en-US" w:eastAsia="zh-CN" w:bidi="ar"/>
                    </w:rPr>
                    <w:t>2</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7.5957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69.5227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3.7857</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73.3084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-7.3714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44.4462</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0.2564 </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0.1024</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0.1540 </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4.6919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39.9083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2.5573</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42.4656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-4.5379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氨氮</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5.4117</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0.0256 </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0.0256 </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0.4889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4.9484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0.3142</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5.2626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-0.4633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总磷</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0.7974</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0.0032 </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0.0032 </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0.0730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0.7276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0.0393</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0.7669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-0.0698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总氮</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7.9901</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0.0384 </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0.0384 </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0.7208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7.3077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0.4712</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7.7789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-0.6824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动植物油</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5.757</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0.0512 </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w:t>
                  </w:r>
                  <w:r>
                    <w:rPr>
                      <w:rFonts w:hint="eastAsia" w:cs="Times New Roman"/>
                      <w:i w:val="0"/>
                      <w:iCs w:val="0"/>
                      <w:color w:val="000000"/>
                      <w:kern w:val="0"/>
                      <w:sz w:val="22"/>
                      <w:szCs w:val="22"/>
                      <w:u w:val="none"/>
                      <w:lang w:val="en-US" w:eastAsia="zh-CN" w:bidi="ar"/>
                    </w:rPr>
                    <w:t>256</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w:t>
                  </w:r>
                  <w:r>
                    <w:rPr>
                      <w:rFonts w:hint="eastAsia" w:cs="Times New Roman"/>
                      <w:i w:val="0"/>
                      <w:iCs w:val="0"/>
                      <w:color w:val="000000"/>
                      <w:kern w:val="0"/>
                      <w:sz w:val="22"/>
                      <w:szCs w:val="22"/>
                      <w:u w:val="none"/>
                      <w:lang w:val="en-US" w:eastAsia="zh-CN" w:bidi="ar"/>
                    </w:rPr>
                    <w:t>7826</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eastAsia" w:cs="Times New Roman"/>
                      <w:i w:val="0"/>
                      <w:iCs w:val="0"/>
                      <w:color w:val="000000"/>
                      <w:kern w:val="0"/>
                      <w:sz w:val="22"/>
                      <w:szCs w:val="22"/>
                      <w:u w:val="none"/>
                      <w:lang w:val="en-US" w:eastAsia="zh-CN" w:bidi="ar"/>
                    </w:rPr>
                    <w:t>5.7826</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w:t>
                  </w:r>
                  <w:r>
                    <w:rPr>
                      <w:rFonts w:hint="eastAsia" w:cs="Times New Roman"/>
                      <w:i w:val="0"/>
                      <w:iCs w:val="0"/>
                      <w:color w:val="000000"/>
                      <w:kern w:val="0"/>
                      <w:sz w:val="22"/>
                      <w:szCs w:val="22"/>
                      <w:u w:val="none"/>
                      <w:lang w:val="en-US" w:eastAsia="zh-CN" w:bidi="ar"/>
                    </w:rPr>
                    <w:t>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278" w:type="pct"/>
                  <w:gridSpan w:val="2"/>
                  <w:vMerge w:val="continue"/>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p>
              </w:tc>
              <w:tc>
                <w:tcPr>
                  <w:tcW w:w="408" w:type="pct"/>
                  <w:noWrap w:val="0"/>
                  <w:vAlign w:val="center"/>
                </w:tcPr>
                <w:p>
                  <w:pPr>
                    <w:widowControl/>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石油类</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0.9575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0.9575 </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0.9575 </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887" w:type="pct"/>
                  <w:gridSpan w:val="4"/>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污染物名称</w:t>
                  </w:r>
                </w:p>
              </w:tc>
              <w:tc>
                <w:tcPr>
                  <w:tcW w:w="1563"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新华路厂区全厂利用及处置量</w:t>
                  </w:r>
                </w:p>
              </w:tc>
              <w:tc>
                <w:tcPr>
                  <w:tcW w:w="425"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本项目产生量</w:t>
                  </w:r>
                </w:p>
              </w:tc>
              <w:tc>
                <w:tcPr>
                  <w:tcW w:w="425"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本项目利用及处置量</w:t>
                  </w:r>
                </w:p>
              </w:tc>
              <w:tc>
                <w:tcPr>
                  <w:tcW w:w="428"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本项目排放量</w:t>
                  </w:r>
                </w:p>
              </w:tc>
              <w:tc>
                <w:tcPr>
                  <w:tcW w:w="35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“以新带老”削减量</w:t>
                  </w:r>
                </w:p>
              </w:tc>
              <w:tc>
                <w:tcPr>
                  <w:tcW w:w="484" w:type="pct"/>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新华路厂区全厂利用及处置量</w:t>
                  </w:r>
                </w:p>
              </w:tc>
              <w:tc>
                <w:tcPr>
                  <w:tcW w:w="484" w:type="pct"/>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里河路厂区全厂利用及处置量</w:t>
                  </w:r>
                </w:p>
              </w:tc>
              <w:tc>
                <w:tcPr>
                  <w:tcW w:w="48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全厂利用及处置量</w:t>
                  </w:r>
                </w:p>
              </w:tc>
              <w:tc>
                <w:tcPr>
                  <w:tcW w:w="424"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排放增减量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color w:val="auto"/>
                      <w:szCs w:val="21"/>
                      <w:highlight w:val="none"/>
                    </w:rPr>
                    <w:t>废金属边角料(含不合格品、金属氧化物等)</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4090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4090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3000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7090</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color w:val="auto"/>
                      <w:szCs w:val="21"/>
                      <w:highlight w:val="none"/>
                    </w:rPr>
                    <w:t>废VCM部件</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color w:val="auto"/>
                      <w:szCs w:val="21"/>
                      <w:highlight w:val="none"/>
                    </w:rPr>
                    <w:t>废滤网</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0.451</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0.451</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0.451</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color w:val="auto"/>
                      <w:szCs w:val="21"/>
                      <w:highlight w:val="none"/>
                    </w:rPr>
                    <w:t>废滤芯</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0.0038</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0.0038</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0.0038</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color w:val="auto"/>
                      <w:szCs w:val="21"/>
                      <w:highlight w:val="none"/>
                    </w:rPr>
                    <w:t>废弃膜电极组件</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9485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9485</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9485</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color w:val="auto"/>
                      <w:szCs w:val="21"/>
                      <w:highlight w:val="none"/>
                    </w:rPr>
                    <w:t>废弃电堆</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15"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color w:val="auto"/>
                      <w:szCs w:val="21"/>
                      <w:highlight w:val="none"/>
                    </w:rPr>
                    <w:t>铬靶</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0.78</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0.78</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0.78</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Cs w:val="21"/>
                      <w:highlight w:val="none"/>
                    </w:rPr>
                    <w:t>收集的金属粉尘</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17.1377</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17.1377</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0.0623</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17.2</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收集的其他粉尘</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0.0693</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0.0693</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0.0693</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废过滤材料（滤袋、石英砂、活性炭等）</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废膜组件</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0.003</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0.06</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0.06</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0.063</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0.001</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0.064</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废玻璃钢珠</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废钢珠</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0.8</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0.8</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0.8</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废保险丝</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0.01</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0.01</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0.01</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LED灯管</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生活垃圾</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334.5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0.008</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0.008</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334.508</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33.6</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368.108</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食堂泔脚</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336.5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0.004</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0.004</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336.504</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336.504</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含铬挡板</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表面处理废液</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507</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513.6</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513.6</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废油（含废磨料）</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431.625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431.625</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113.15</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544.775</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废油桶</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50.534</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50.534</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70.534</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化学品容器</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15.505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0.31</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0.31</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15.815</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20.815</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有机溶剂</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1.4017</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1.4017</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0.6</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2.0017</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废酸</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0.005</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0.005</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4"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废滤芯、手套等</w:t>
                  </w:r>
                </w:p>
                <w:p>
                  <w:pPr>
                    <w:pStyle w:val="45"/>
                    <w:spacing w:beforeLines="0" w:afterLines="0" w:line="240" w:lineRule="auto"/>
                    <w:jc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（含铬）</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含铬废物（液体）</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污水处理污泥</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37.2</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37.2</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88.2</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103.2</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37.2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含油废物（砂轮灰、金属屑）</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370.02</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370.02</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375.02</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含油废物（滤芯、滤布、毛刷、过滤材料、滤纸等）</w:t>
                  </w:r>
                </w:p>
              </w:tc>
              <w:tc>
                <w:tcPr>
                  <w:tcW w:w="15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86.06</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0</w:t>
                  </w:r>
                  <w:r>
                    <w:rPr>
                      <w:rFonts w:hint="eastAsia" w:cs="Times New Roman"/>
                      <w:i w:val="0"/>
                      <w:iCs w:val="0"/>
                      <w:color w:val="000000"/>
                      <w:kern w:val="0"/>
                      <w:sz w:val="22"/>
                      <w:szCs w:val="22"/>
                      <w:u w:val="none"/>
                      <w:lang w:val="en-US" w:eastAsia="zh-CN" w:bidi="ar"/>
                    </w:rPr>
                    <w:t>.1</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0</w:t>
                  </w:r>
                  <w:r>
                    <w:rPr>
                      <w:rFonts w:hint="eastAsia" w:cs="Times New Roman"/>
                      <w:i w:val="0"/>
                      <w:iCs w:val="0"/>
                      <w:color w:val="000000"/>
                      <w:kern w:val="0"/>
                      <w:sz w:val="22"/>
                      <w:szCs w:val="22"/>
                      <w:u w:val="none"/>
                      <w:lang w:val="en-US" w:eastAsia="zh-CN" w:bidi="ar"/>
                    </w:rPr>
                    <w:t>.1</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86.</w:t>
                  </w:r>
                  <w:r>
                    <w:rPr>
                      <w:rFonts w:hint="eastAsia"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6</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13.07</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99.</w:t>
                  </w:r>
                  <w:r>
                    <w:rPr>
                      <w:rFonts w:hint="eastAsia" w:cs="Times New Roman"/>
                      <w:i w:val="0"/>
                      <w:iCs w:val="0"/>
                      <w:color w:val="000000"/>
                      <w:kern w:val="0"/>
                      <w:sz w:val="22"/>
                      <w:szCs w:val="22"/>
                      <w:u w:val="none"/>
                      <w:lang w:val="en-US" w:eastAsia="zh-CN" w:bidi="ar"/>
                    </w:rPr>
                    <w:t>2</w:t>
                  </w:r>
                  <w:r>
                    <w:rPr>
                      <w:rFonts w:hint="default" w:ascii="Times New Roman" w:hAnsi="Times New Roman" w:eastAsia="宋体" w:cs="Times New Roman"/>
                      <w:i w:val="0"/>
                      <w:iCs w:val="0"/>
                      <w:color w:val="000000"/>
                      <w:kern w:val="0"/>
                      <w:sz w:val="22"/>
                      <w:szCs w:val="22"/>
                      <w:u w:val="none"/>
                      <w:lang w:val="en-US" w:eastAsia="zh-CN" w:bidi="ar"/>
                    </w:rPr>
                    <w:t>3</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w:t>
                  </w:r>
                  <w:r>
                    <w:rPr>
                      <w:rFonts w:hint="eastAsia" w:cs="Times New Roman"/>
                      <w:i w:val="0"/>
                      <w:iCs w:val="0"/>
                      <w:color w:val="000000"/>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医疗废物</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0.04</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0.04</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0.04</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含汞灯管</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废蓄电池</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废试剂</w:t>
                  </w:r>
                </w:p>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（实验室废液）</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spacing w:beforeLines="0" w:afterLines="0"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烃水混合物</w:t>
                  </w:r>
                </w:p>
                <w:p>
                  <w:pPr>
                    <w:spacing w:beforeLines="0" w:afterLines="0" w:line="240" w:lineRule="auto"/>
                    <w:jc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（废尿素溶液）</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废弃化学品</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废活性炭</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1.03</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1.03</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10.03</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eastAsia" w:ascii="Times New Roman" w:cs="Times New Roman"/>
                      <w:b w:val="0"/>
                      <w:bCs w:val="0"/>
                      <w:color w:val="auto"/>
                      <w:szCs w:val="21"/>
                      <w:highlight w:val="none"/>
                      <w:lang w:val="en-US" w:eastAsia="zh-CN"/>
                    </w:rPr>
                    <w:t>不</w:t>
                  </w:r>
                  <w:r>
                    <w:rPr>
                      <w:rFonts w:hint="default" w:ascii="Times New Roman" w:hAnsi="Times New Roman" w:eastAsia="宋体" w:cs="Times New Roman"/>
                      <w:b w:val="0"/>
                      <w:bCs w:val="0"/>
                      <w:color w:val="auto"/>
                      <w:szCs w:val="21"/>
                      <w:highlight w:val="none"/>
                    </w:rPr>
                    <w:t>含油废物（废弃</w:t>
                  </w:r>
                  <w:r>
                    <w:rPr>
                      <w:rFonts w:hint="eastAsia" w:ascii="Times New Roman" w:cs="Times New Roman"/>
                      <w:b w:val="0"/>
                      <w:bCs w:val="0"/>
                      <w:color w:val="auto"/>
                      <w:szCs w:val="21"/>
                      <w:highlight w:val="none"/>
                      <w:lang w:val="en-US" w:eastAsia="zh-CN"/>
                    </w:rPr>
                    <w:t>不</w:t>
                  </w:r>
                  <w:r>
                    <w:rPr>
                      <w:rFonts w:hint="default" w:ascii="Times New Roman" w:hAnsi="Times New Roman" w:eastAsia="宋体" w:cs="Times New Roman"/>
                      <w:b w:val="0"/>
                      <w:bCs w:val="0"/>
                      <w:color w:val="auto"/>
                      <w:szCs w:val="21"/>
                      <w:highlight w:val="none"/>
                    </w:rPr>
                    <w:t>含油抹布、劳保用品）</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废碱液</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0.14</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0.14</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0.14</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szCs w:val="21"/>
                      <w:highlight w:val="none"/>
                    </w:rPr>
                    <w:t>浓缩废液</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287.6</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155.32</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155.32</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442.92</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75</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517.92</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155.32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离心分离和</w:t>
                  </w:r>
                </w:p>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超滤废液</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435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232.88</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232.88</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667.88</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667.88</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232.88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lang w:val="en-US" w:eastAsia="zh-CN"/>
                    </w:rPr>
                  </w:pPr>
                  <w:r>
                    <w:rPr>
                      <w:rFonts w:hint="eastAsia" w:ascii="Times New Roman" w:cs="Times New Roman"/>
                      <w:b w:val="0"/>
                      <w:bCs w:val="0"/>
                      <w:color w:val="auto"/>
                      <w:szCs w:val="21"/>
                      <w:highlight w:val="none"/>
                      <w:lang w:val="en-US" w:eastAsia="zh-CN"/>
                    </w:rPr>
                    <w:t>废过滤材料</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0.45</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r>
                    <w:rPr>
                      <w:rFonts w:hint="eastAsia" w:ascii="Times New Roman" w:hAnsi="Times New Roman" w:cs="Times New Roman"/>
                      <w:i w:val="0"/>
                      <w:iCs w:val="0"/>
                      <w:color w:val="000000"/>
                      <w:kern w:val="0"/>
                      <w:sz w:val="22"/>
                      <w:szCs w:val="22"/>
                      <w:u w:val="none"/>
                      <w:lang w:val="en-US" w:eastAsia="zh-CN" w:bidi="ar"/>
                    </w:rPr>
                    <w:t>.01</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r>
                    <w:rPr>
                      <w:rFonts w:hint="eastAsia" w:ascii="Times New Roman" w:hAnsi="Times New Roman" w:cs="Times New Roman"/>
                      <w:i w:val="0"/>
                      <w:iCs w:val="0"/>
                      <w:color w:val="000000"/>
                      <w:kern w:val="0"/>
                      <w:sz w:val="22"/>
                      <w:szCs w:val="22"/>
                      <w:u w:val="none"/>
                      <w:lang w:val="en-US" w:eastAsia="zh-CN" w:bidi="ar"/>
                    </w:rPr>
                    <w:t>.01</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w:t>
                  </w:r>
                  <w:r>
                    <w:rPr>
                      <w:rFonts w:hint="eastAsia" w:ascii="Times New Roman" w:hAnsi="Times New Roman" w:cs="Times New Roman"/>
                      <w:i w:val="0"/>
                      <w:iCs w:val="0"/>
                      <w:color w:val="000000"/>
                      <w:kern w:val="0"/>
                      <w:sz w:val="22"/>
                      <w:szCs w:val="22"/>
                      <w:u w:val="none"/>
                      <w:lang w:val="en-US" w:eastAsia="zh-CN" w:bidi="ar"/>
                    </w:rPr>
                    <w:t>6</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w:t>
                  </w:r>
                  <w:r>
                    <w:rPr>
                      <w:rFonts w:hint="eastAsia" w:ascii="Times New Roman" w:hAnsi="Times New Roman" w:cs="Times New Roman"/>
                      <w:i w:val="0"/>
                      <w:iCs w:val="0"/>
                      <w:color w:val="000000"/>
                      <w:kern w:val="0"/>
                      <w:sz w:val="22"/>
                      <w:szCs w:val="22"/>
                      <w:u w:val="none"/>
                      <w:lang w:val="en-US" w:eastAsia="zh-CN" w:bidi="ar"/>
                    </w:rPr>
                    <w:t>6</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auto"/>
                      <w:kern w:val="0"/>
                      <w:sz w:val="21"/>
                      <w:szCs w:val="21"/>
                      <w:highlight w:val="none"/>
                      <w:u w:val="none"/>
                      <w:lang w:val="en-US" w:eastAsia="zh-CN" w:bidi="ar"/>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w:t>
                  </w:r>
                  <w:r>
                    <w:rPr>
                      <w:rFonts w:hint="eastAsia" w:ascii="Times New Roman" w:hAnsi="Times New Roman" w:cs="Times New Roman"/>
                      <w:i w:val="0"/>
                      <w:iCs w:val="0"/>
                      <w:color w:val="000000"/>
                      <w:kern w:val="0"/>
                      <w:sz w:val="22"/>
                      <w:szCs w:val="22"/>
                      <w:u w:val="non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20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687" w:type="pct"/>
                  <w:gridSpan w:val="3"/>
                  <w:noWrap w:val="0"/>
                  <w:vAlign w:val="center"/>
                </w:tcPr>
                <w:p>
                  <w:pPr>
                    <w:pStyle w:val="45"/>
                    <w:spacing w:beforeLines="0" w:afterLines="0"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废塑料、废纸箱、废木栈板</w:t>
                  </w:r>
                </w:p>
              </w:tc>
              <w:tc>
                <w:tcPr>
                  <w:tcW w:w="15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1250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0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17"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2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1250</w:t>
                  </w:r>
                </w:p>
              </w:tc>
              <w:tc>
                <w:tcPr>
                  <w:tcW w:w="1263"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600</w:t>
                  </w:r>
                </w:p>
              </w:tc>
              <w:tc>
                <w:tcPr>
                  <w:tcW w:w="1269"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1850</w:t>
                  </w:r>
                </w:p>
              </w:tc>
              <w:tc>
                <w:tcPr>
                  <w:tcW w:w="1108" w:type="dxa"/>
                  <w:noWrap w:val="0"/>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bl>
          <w:p>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bl>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rPr>
        <w:sectPr>
          <w:pgSz w:w="16840" w:h="11907" w:orient="landscape"/>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四、主要环境影响和保护措施</w:t>
      </w:r>
      <w:bookmarkEnd w:id="13"/>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3" w:type="dxa"/>
            <w:noWrap w:val="0"/>
            <w:vAlign w:val="center"/>
          </w:tcPr>
          <w:p>
            <w:pPr>
              <w:pStyle w:val="18"/>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1"/>
                <w:szCs w:val="21"/>
                <w:highlight w:val="none"/>
              </w:rPr>
              <w:t>施工期环保措施</w:t>
            </w:r>
          </w:p>
        </w:tc>
        <w:tc>
          <w:tcPr>
            <w:tcW w:w="87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440" w:firstLineChars="200"/>
              <w:textAlignment w:val="auto"/>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bCs/>
                <w:color w:val="auto"/>
                <w:spacing w:val="-10"/>
                <w:sz w:val="24"/>
                <w:szCs w:val="21"/>
                <w:highlight w:val="none"/>
              </w:rPr>
              <w:t>本项目施工期主要为车间装修布局和设备安装，产能的污染主要为装修作业粉尘、墙面粉刷有机废气、施工作业噪声、设备安装产生的废包装等一般工业固废。施工废气、噪声可以通过合理安排施工时序、加强施工期管理、选用环保施工材料和施工设施等措施降低环境影响，施工产生的一般工业固废由废品回收商回收。由于施工期短，影响是暂时的，可随着施工期的结束而停止。本报告不做详细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02" w:type="dxa"/>
            <w:noWrap w:val="0"/>
            <w:vAlign w:val="center"/>
          </w:tcPr>
          <w:p>
            <w:pPr>
              <w:pStyle w:val="18"/>
              <w:adjustRightInd w:val="0"/>
              <w:snapToGrid w:val="0"/>
              <w:spacing w:before="0" w:beforeAutospacing="0" w:after="0" w:afterAutospacing="0"/>
              <w:outlineLvl w:val="0"/>
              <w:rPr>
                <w:rFonts w:hint="default" w:ascii="Times New Roman" w:hAnsi="Times New Roman" w:eastAsia="宋体" w:cs="Times New Roman"/>
                <w:snapToGrid w:val="0"/>
                <w:color w:val="auto"/>
                <w:szCs w:val="30"/>
                <w:highlight w:val="none"/>
              </w:rPr>
            </w:pPr>
            <w:bookmarkStart w:id="14" w:name="_Toc68247215"/>
            <w:r>
              <w:rPr>
                <w:rFonts w:hint="default" w:ascii="Times New Roman" w:hAnsi="Times New Roman" w:eastAsia="宋体" w:cs="Times New Roman"/>
                <w:snapToGrid w:val="0"/>
                <w:color w:val="auto"/>
                <w:szCs w:val="30"/>
                <w:highlight w:val="none"/>
              </w:rPr>
              <w:t>运营期环境影响和保护措施</w:t>
            </w:r>
            <w:bookmarkEnd w:id="14"/>
          </w:p>
        </w:tc>
        <w:tc>
          <w:tcPr>
            <w:tcW w:w="8784" w:type="dxa"/>
            <w:noWrap w:val="0"/>
            <w:vAlign w:val="top"/>
          </w:tcPr>
          <w:p>
            <w:pPr>
              <w:adjustRightInd w:val="0"/>
              <w:snapToGrid w:val="0"/>
              <w:spacing w:line="460" w:lineRule="exact"/>
              <w:jc w:val="both"/>
              <w:rPr>
                <w:rFonts w:hint="default" w:ascii="Times New Roman" w:hAnsi="Times New Roman" w:eastAsia="宋体" w:cs="Times New Roman"/>
                <w:b/>
                <w:bCs/>
                <w:color w:val="auto"/>
                <w:spacing w:val="-10"/>
                <w:sz w:val="24"/>
                <w:szCs w:val="21"/>
                <w:highlight w:val="none"/>
              </w:rPr>
            </w:pPr>
            <w:r>
              <w:rPr>
                <w:rFonts w:hint="eastAsia" w:cs="Times New Roman"/>
                <w:b/>
                <w:color w:val="auto"/>
                <w:spacing w:val="-10"/>
                <w:sz w:val="24"/>
                <w:highlight w:val="none"/>
                <w:lang w:val="en-US" w:eastAsia="zh-CN"/>
              </w:rPr>
              <w:t>1</w:t>
            </w:r>
            <w:r>
              <w:rPr>
                <w:rFonts w:hint="default" w:ascii="Times New Roman" w:hAnsi="Times New Roman" w:eastAsia="宋体" w:cs="Times New Roman"/>
                <w:b/>
                <w:color w:val="auto"/>
                <w:spacing w:val="-10"/>
                <w:sz w:val="24"/>
                <w:highlight w:val="none"/>
              </w:rPr>
              <w:t>、</w:t>
            </w:r>
            <w:r>
              <w:rPr>
                <w:rFonts w:hint="default" w:ascii="Times New Roman" w:hAnsi="Times New Roman" w:eastAsia="宋体" w:cs="Times New Roman"/>
                <w:b/>
                <w:bCs/>
                <w:color w:val="auto"/>
                <w:spacing w:val="-10"/>
                <w:sz w:val="24"/>
                <w:szCs w:val="21"/>
                <w:highlight w:val="none"/>
              </w:rPr>
              <w:t>废水</w:t>
            </w:r>
          </w:p>
          <w:p>
            <w:pPr>
              <w:numPr>
                <w:ilvl w:val="0"/>
                <w:numId w:val="0"/>
              </w:numPr>
              <w:adjustRightInd w:val="0"/>
              <w:snapToGrid w:val="0"/>
              <w:spacing w:line="460" w:lineRule="exact"/>
              <w:ind w:left="420" w:leftChars="0"/>
              <w:jc w:val="both"/>
              <w:rPr>
                <w:rFonts w:hint="default" w:ascii="Times New Roman" w:hAnsi="Times New Roman" w:eastAsia="宋体" w:cs="Times New Roman"/>
                <w:b/>
                <w:bCs/>
                <w:color w:val="auto"/>
                <w:spacing w:val="-10"/>
                <w:sz w:val="24"/>
                <w:szCs w:val="21"/>
                <w:highlight w:val="none"/>
              </w:rPr>
            </w:pPr>
            <w:r>
              <w:rPr>
                <w:rFonts w:hint="eastAsia" w:cs="Times New Roman"/>
                <w:b/>
                <w:bCs/>
                <w:color w:val="auto"/>
                <w:spacing w:val="-10"/>
                <w:sz w:val="24"/>
                <w:szCs w:val="21"/>
                <w:highlight w:val="none"/>
                <w:lang w:eastAsia="zh-CN"/>
              </w:rPr>
              <w:t>（</w:t>
            </w:r>
            <w:r>
              <w:rPr>
                <w:rFonts w:hint="eastAsia" w:cs="Times New Roman"/>
                <w:b/>
                <w:bCs/>
                <w:color w:val="auto"/>
                <w:spacing w:val="-10"/>
                <w:sz w:val="24"/>
                <w:szCs w:val="21"/>
                <w:highlight w:val="none"/>
                <w:lang w:val="en-US" w:eastAsia="zh-CN"/>
              </w:rPr>
              <w:t>1</w:t>
            </w:r>
            <w:r>
              <w:rPr>
                <w:rFonts w:hint="eastAsia" w:cs="Times New Roman"/>
                <w:b/>
                <w:bCs/>
                <w:color w:val="auto"/>
                <w:spacing w:val="-10"/>
                <w:sz w:val="24"/>
                <w:szCs w:val="21"/>
                <w:highlight w:val="none"/>
                <w:lang w:eastAsia="zh-CN"/>
              </w:rPr>
              <w:t>）</w:t>
            </w:r>
            <w:r>
              <w:rPr>
                <w:rFonts w:hint="default" w:ascii="Times New Roman" w:hAnsi="Times New Roman" w:eastAsia="宋体" w:cs="Times New Roman"/>
                <w:b/>
                <w:bCs/>
                <w:color w:val="auto"/>
                <w:spacing w:val="-10"/>
                <w:sz w:val="24"/>
                <w:szCs w:val="21"/>
                <w:highlight w:val="none"/>
              </w:rPr>
              <w:t>本项目废水污染物产生及排放情况</w:t>
            </w:r>
          </w:p>
          <w:p>
            <w:pPr>
              <w:adjustRightInd w:val="0"/>
              <w:snapToGrid w:val="0"/>
              <w:spacing w:line="460" w:lineRule="exact"/>
              <w:ind w:firstLine="393" w:firstLineChars="179"/>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本项目废水污染源主要有生活污水、</w:t>
            </w:r>
            <w:r>
              <w:rPr>
                <w:rFonts w:hint="eastAsia" w:cs="Times New Roman"/>
                <w:bCs/>
                <w:color w:val="auto"/>
                <w:spacing w:val="-10"/>
                <w:sz w:val="24"/>
                <w:szCs w:val="21"/>
                <w:highlight w:val="none"/>
                <w:lang w:val="en-US" w:eastAsia="zh-CN"/>
              </w:rPr>
              <w:t>制软水废水</w:t>
            </w:r>
            <w:r>
              <w:rPr>
                <w:rFonts w:hint="default" w:ascii="Times New Roman" w:hAnsi="Times New Roman" w:eastAsia="宋体" w:cs="Times New Roman"/>
                <w:bCs/>
                <w:color w:val="auto"/>
                <w:spacing w:val="-10"/>
                <w:sz w:val="24"/>
                <w:szCs w:val="21"/>
                <w:highlight w:val="none"/>
                <w:lang w:val="en-US" w:eastAsia="zh-CN"/>
              </w:rPr>
              <w:t>、</w:t>
            </w:r>
            <w:r>
              <w:rPr>
                <w:rFonts w:hint="eastAsia" w:cs="Times New Roman"/>
                <w:bCs/>
                <w:color w:val="auto"/>
                <w:spacing w:val="-10"/>
                <w:sz w:val="24"/>
                <w:szCs w:val="21"/>
                <w:highlight w:val="none"/>
                <w:lang w:val="en-US" w:eastAsia="zh-CN"/>
              </w:rPr>
              <w:t>制纯废水</w:t>
            </w:r>
            <w:r>
              <w:rPr>
                <w:rFonts w:hint="default" w:ascii="Times New Roman" w:hAnsi="Times New Roman" w:eastAsia="宋体" w:cs="Times New Roman"/>
                <w:bCs/>
                <w:color w:val="auto"/>
                <w:spacing w:val="-10"/>
                <w:sz w:val="24"/>
                <w:szCs w:val="21"/>
                <w:highlight w:val="none"/>
                <w:lang w:val="en-US" w:eastAsia="zh-CN"/>
              </w:rPr>
              <w:t>、清洗废水（工艺用水）</w:t>
            </w:r>
            <w:r>
              <w:rPr>
                <w:rFonts w:hint="default" w:ascii="Times New Roman" w:hAnsi="Times New Roman" w:eastAsia="宋体" w:cs="Times New Roman"/>
                <w:bCs/>
                <w:color w:val="auto"/>
                <w:spacing w:val="-10"/>
                <w:sz w:val="24"/>
                <w:szCs w:val="21"/>
                <w:highlight w:val="none"/>
              </w:rPr>
              <w:t>。其中生活污水经化粪池预处理后</w:t>
            </w:r>
            <w:r>
              <w:rPr>
                <w:rFonts w:hint="eastAsia" w:cs="Times New Roman"/>
                <w:bCs/>
                <w:color w:val="auto"/>
                <w:spacing w:val="-10"/>
                <w:sz w:val="24"/>
                <w:szCs w:val="21"/>
                <w:highlight w:val="none"/>
                <w:lang w:val="en-US" w:eastAsia="zh-CN"/>
              </w:rPr>
              <w:t>和制软水废水</w:t>
            </w:r>
            <w:r>
              <w:rPr>
                <w:rFonts w:hint="default" w:ascii="Times New Roman" w:hAnsi="Times New Roman" w:eastAsia="宋体" w:cs="Times New Roman"/>
                <w:bCs/>
                <w:color w:val="auto"/>
                <w:spacing w:val="-10"/>
                <w:sz w:val="24"/>
                <w:szCs w:val="21"/>
                <w:highlight w:val="none"/>
              </w:rPr>
              <w:t>接管至</w:t>
            </w:r>
            <w:r>
              <w:rPr>
                <w:rFonts w:hint="default" w:ascii="Times New Roman" w:hAnsi="Times New Roman" w:eastAsia="宋体" w:cs="Times New Roman"/>
                <w:bCs/>
                <w:color w:val="auto"/>
                <w:spacing w:val="-10"/>
                <w:sz w:val="24"/>
                <w:szCs w:val="21"/>
                <w:highlight w:val="none"/>
                <w:lang w:val="en-US" w:eastAsia="zh-CN"/>
              </w:rPr>
              <w:t>新城</w:t>
            </w:r>
            <w:r>
              <w:rPr>
                <w:rFonts w:hint="default" w:ascii="Times New Roman" w:hAnsi="Times New Roman" w:eastAsia="宋体" w:cs="Times New Roman"/>
                <w:bCs/>
                <w:color w:val="auto"/>
                <w:spacing w:val="-10"/>
                <w:sz w:val="24"/>
                <w:szCs w:val="21"/>
                <w:highlight w:val="none"/>
              </w:rPr>
              <w:t>水处理厂集中处理；</w:t>
            </w:r>
            <w:r>
              <w:rPr>
                <w:rFonts w:hint="eastAsia" w:cs="Times New Roman"/>
                <w:bCs/>
                <w:color w:val="auto"/>
                <w:spacing w:val="-10"/>
                <w:sz w:val="24"/>
                <w:szCs w:val="21"/>
                <w:highlight w:val="none"/>
                <w:lang w:val="en-US" w:eastAsia="zh-CN"/>
              </w:rPr>
              <w:t>制纯废水经厂内</w:t>
            </w:r>
            <w:r>
              <w:rPr>
                <w:rFonts w:hint="eastAsia" w:cs="Times New Roman"/>
                <w:color w:val="auto"/>
                <w:sz w:val="24"/>
                <w:szCs w:val="24"/>
                <w:highlight w:val="none"/>
                <w:lang w:val="en-US" w:eastAsia="zh-CN"/>
              </w:rPr>
              <w:t>中水回用系统</w:t>
            </w:r>
            <w:r>
              <w:rPr>
                <w:rFonts w:hint="eastAsia" w:cs="Times New Roman"/>
                <w:bCs/>
                <w:color w:val="auto"/>
                <w:spacing w:val="-10"/>
                <w:sz w:val="24"/>
                <w:szCs w:val="21"/>
                <w:highlight w:val="none"/>
                <w:lang w:val="en-US" w:eastAsia="zh-CN"/>
              </w:rPr>
              <w:t>回用至中水冷却塔，零排放；</w:t>
            </w:r>
            <w:r>
              <w:rPr>
                <w:rFonts w:hint="default" w:ascii="Times New Roman" w:hAnsi="Times New Roman" w:eastAsia="宋体" w:cs="Times New Roman"/>
                <w:bCs/>
                <w:color w:val="auto"/>
                <w:spacing w:val="-10"/>
                <w:sz w:val="24"/>
                <w:szCs w:val="21"/>
                <w:highlight w:val="none"/>
                <w:lang w:val="en-US" w:eastAsia="zh-CN"/>
              </w:rPr>
              <w:t>清洗废水</w:t>
            </w:r>
            <w:r>
              <w:rPr>
                <w:rFonts w:hint="default" w:ascii="Times New Roman" w:hAnsi="Times New Roman" w:eastAsia="宋体" w:cs="Times New Roman"/>
                <w:bCs/>
                <w:color w:val="auto"/>
                <w:spacing w:val="-10"/>
                <w:sz w:val="24"/>
                <w:szCs w:val="21"/>
                <w:highlight w:val="none"/>
              </w:rPr>
              <w:t>经厂区内污水处理站处理后回用于中水冷却塔，零排放。</w:t>
            </w:r>
          </w:p>
          <w:p>
            <w:pPr>
              <w:adjustRightInd w:val="0"/>
              <w:snapToGrid w:val="0"/>
              <w:spacing w:line="460" w:lineRule="exact"/>
              <w:ind w:firstLine="440" w:firstLineChars="200"/>
              <w:jc w:val="both"/>
              <w:rPr>
                <w:rFonts w:hint="default"/>
                <w:color w:val="auto"/>
              </w:rPr>
            </w:pPr>
            <w:r>
              <w:rPr>
                <w:rFonts w:hint="default" w:ascii="Times New Roman" w:hAnsi="Times New Roman" w:eastAsia="宋体" w:cs="Times New Roman"/>
                <w:bCs/>
                <w:color w:val="auto"/>
                <w:spacing w:val="-10"/>
                <w:sz w:val="24"/>
                <w:szCs w:val="21"/>
                <w:highlight w:val="none"/>
              </w:rPr>
              <w:t>本项目废水源强及治理方案详见下表：</w:t>
            </w:r>
          </w:p>
          <w:p>
            <w:pPr>
              <w:adjustRightInd w:val="0"/>
              <w:snapToGrid w:val="0"/>
              <w:spacing w:line="460" w:lineRule="exact"/>
              <w:jc w:val="center"/>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表4-</w:t>
            </w:r>
            <w:r>
              <w:rPr>
                <w:rFonts w:hint="eastAsia" w:cs="Times New Roman"/>
                <w:b/>
                <w:bCs/>
                <w:color w:val="auto"/>
                <w:spacing w:val="-10"/>
                <w:sz w:val="24"/>
                <w:szCs w:val="21"/>
                <w:highlight w:val="none"/>
                <w:lang w:val="en-US" w:eastAsia="zh-CN"/>
              </w:rPr>
              <w:t>1</w:t>
            </w:r>
            <w:r>
              <w:rPr>
                <w:rFonts w:hint="default" w:ascii="Times New Roman" w:hAnsi="Times New Roman" w:eastAsia="宋体" w:cs="Times New Roman"/>
                <w:b/>
                <w:bCs/>
                <w:color w:val="auto"/>
                <w:spacing w:val="-10"/>
                <w:sz w:val="24"/>
                <w:szCs w:val="21"/>
                <w:highlight w:val="none"/>
              </w:rPr>
              <w:t xml:space="preserve">   本项目水污染物产生源强及污染防治措施情况表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967"/>
              <w:gridCol w:w="975"/>
              <w:gridCol w:w="968"/>
              <w:gridCol w:w="1133"/>
              <w:gridCol w:w="1128"/>
              <w:gridCol w:w="605"/>
              <w:gridCol w:w="1331"/>
              <w:gridCol w:w="828"/>
              <w:gridCol w:w="8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restart"/>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产排污环节</w:t>
                  </w:r>
                </w:p>
              </w:tc>
              <w:tc>
                <w:tcPr>
                  <w:tcW w:w="553" w:type="pct"/>
                  <w:vMerge w:val="restart"/>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类别</w:t>
                  </w:r>
                </w:p>
              </w:tc>
              <w:tc>
                <w:tcPr>
                  <w:tcW w:w="549" w:type="pct"/>
                  <w:vMerge w:val="restart"/>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污染物种类</w:t>
                  </w:r>
                </w:p>
              </w:tc>
              <w:tc>
                <w:tcPr>
                  <w:tcW w:w="1283" w:type="pct"/>
                  <w:gridSpan w:val="2"/>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污染物产生源强</w:t>
                  </w:r>
                </w:p>
              </w:tc>
              <w:tc>
                <w:tcPr>
                  <w:tcW w:w="2062" w:type="pct"/>
                  <w:gridSpan w:val="4"/>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污染治理设施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continue"/>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p>
              </w:tc>
              <w:tc>
                <w:tcPr>
                  <w:tcW w:w="549" w:type="pct"/>
                  <w:vMerge w:val="continue"/>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p>
              </w:tc>
              <w:tc>
                <w:tcPr>
                  <w:tcW w:w="643" w:type="pct"/>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产生浓度（mg/L）</w:t>
                  </w:r>
                </w:p>
              </w:tc>
              <w:tc>
                <w:tcPr>
                  <w:tcW w:w="640" w:type="pct"/>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产生量（t/a）</w:t>
                  </w:r>
                </w:p>
              </w:tc>
              <w:tc>
                <w:tcPr>
                  <w:tcW w:w="343" w:type="pct"/>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处理</w:t>
                  </w:r>
                </w:p>
                <w:p>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能力</w:t>
                  </w:r>
                </w:p>
              </w:tc>
              <w:tc>
                <w:tcPr>
                  <w:tcW w:w="755" w:type="pct"/>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治理工艺</w:t>
                  </w:r>
                </w:p>
              </w:tc>
              <w:tc>
                <w:tcPr>
                  <w:tcW w:w="470" w:type="pct"/>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治理</w:t>
                  </w:r>
                </w:p>
                <w:p>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效率</w:t>
                  </w:r>
                </w:p>
              </w:tc>
              <w:tc>
                <w:tcPr>
                  <w:tcW w:w="493" w:type="pct"/>
                  <w:noWrap w:val="0"/>
                  <w:vAlign w:val="center"/>
                </w:tcPr>
                <w:p>
                  <w:pPr>
                    <w:widowControl/>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是否可行技术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restart"/>
                  <w:noWrap w:val="0"/>
                  <w:vAlign w:val="center"/>
                </w:tcPr>
                <w:p>
                  <w:pPr>
                    <w:widowControl/>
                    <w:adjustRightInd w:val="0"/>
                    <w:snapToGrid w:val="0"/>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生活用水</w:t>
                  </w:r>
                </w:p>
              </w:tc>
              <w:tc>
                <w:tcPr>
                  <w:tcW w:w="553"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生活</w:t>
                  </w:r>
                </w:p>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污水</w:t>
                  </w:r>
                </w:p>
              </w:tc>
              <w:tc>
                <w:tcPr>
                  <w:tcW w:w="549"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废水量</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640</w:t>
                  </w:r>
                </w:p>
              </w:tc>
              <w:tc>
                <w:tcPr>
                  <w:tcW w:w="343"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园区配套化粪池</w:t>
                  </w:r>
                  <w:r>
                    <w:rPr>
                      <w:rFonts w:hint="default" w:ascii="Times New Roman" w:hAnsi="Times New Roman" w:eastAsia="宋体" w:cs="Times New Roman"/>
                      <w:color w:val="auto"/>
                      <w:kern w:val="0"/>
                      <w:szCs w:val="21"/>
                      <w:highlight w:val="none"/>
                      <w:lang w:val="en-US" w:eastAsia="zh-CN"/>
                    </w:rPr>
                    <w:t>/隔油池</w:t>
                  </w:r>
                </w:p>
              </w:tc>
              <w:tc>
                <w:tcPr>
                  <w:tcW w:w="755"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厌氧生化</w:t>
                  </w: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493"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53" w:type="pct"/>
                  <w:vMerge w:val="continue"/>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c>
                <w:tcPr>
                  <w:tcW w:w="549"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pH</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49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53" w:type="pct"/>
                  <w:vMerge w:val="continue"/>
                  <w:noWrap w:val="0"/>
                  <w:vAlign w:val="center"/>
                </w:tcPr>
                <w:p>
                  <w:pPr>
                    <w:adjustRightInd w:val="0"/>
                    <w:snapToGrid w:val="0"/>
                    <w:jc w:val="center"/>
                    <w:rPr>
                      <w:rFonts w:hint="default" w:ascii="Times New Roman" w:hAnsi="Times New Roman" w:eastAsia="宋体" w:cs="Times New Roman"/>
                      <w:color w:val="auto"/>
                      <w:kern w:val="0"/>
                      <w:sz w:val="22"/>
                      <w:szCs w:val="22"/>
                      <w:highlight w:val="none"/>
                    </w:rPr>
                  </w:pPr>
                </w:p>
              </w:tc>
              <w:tc>
                <w:tcPr>
                  <w:tcW w:w="549"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COD</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0.32</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30%</w:t>
                  </w:r>
                </w:p>
              </w:tc>
              <w:tc>
                <w:tcPr>
                  <w:tcW w:w="49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53" w:type="pct"/>
                  <w:vMerge w:val="continue"/>
                  <w:noWrap w:val="0"/>
                  <w:vAlign w:val="center"/>
                </w:tcPr>
                <w:p>
                  <w:pPr>
                    <w:adjustRightInd w:val="0"/>
                    <w:snapToGrid w:val="0"/>
                    <w:jc w:val="center"/>
                    <w:rPr>
                      <w:rFonts w:hint="default" w:ascii="Times New Roman" w:hAnsi="Times New Roman" w:eastAsia="宋体" w:cs="Times New Roman"/>
                      <w:color w:val="auto"/>
                      <w:kern w:val="0"/>
                      <w:sz w:val="22"/>
                      <w:szCs w:val="22"/>
                      <w:highlight w:val="none"/>
                    </w:rPr>
                  </w:pPr>
                </w:p>
              </w:tc>
              <w:tc>
                <w:tcPr>
                  <w:tcW w:w="549"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SS</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0.256</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40%</w:t>
                  </w:r>
                </w:p>
              </w:tc>
              <w:tc>
                <w:tcPr>
                  <w:tcW w:w="49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53" w:type="pct"/>
                  <w:vMerge w:val="continue"/>
                  <w:noWrap w:val="0"/>
                  <w:vAlign w:val="center"/>
                </w:tcPr>
                <w:p>
                  <w:pPr>
                    <w:adjustRightInd w:val="0"/>
                    <w:snapToGrid w:val="0"/>
                    <w:jc w:val="center"/>
                    <w:rPr>
                      <w:rFonts w:hint="default" w:ascii="Times New Roman" w:hAnsi="Times New Roman" w:eastAsia="宋体" w:cs="Times New Roman"/>
                      <w:color w:val="auto"/>
                      <w:kern w:val="0"/>
                      <w:sz w:val="22"/>
                      <w:szCs w:val="22"/>
                      <w:highlight w:val="none"/>
                    </w:rPr>
                  </w:pPr>
                </w:p>
              </w:tc>
              <w:tc>
                <w:tcPr>
                  <w:tcW w:w="549"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氨氮</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0.0256</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w:t>
                  </w:r>
                </w:p>
              </w:tc>
              <w:tc>
                <w:tcPr>
                  <w:tcW w:w="49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53" w:type="pct"/>
                  <w:vMerge w:val="continue"/>
                  <w:noWrap w:val="0"/>
                  <w:vAlign w:val="center"/>
                </w:tcPr>
                <w:p>
                  <w:pPr>
                    <w:adjustRightInd w:val="0"/>
                    <w:snapToGrid w:val="0"/>
                    <w:jc w:val="center"/>
                    <w:rPr>
                      <w:rFonts w:hint="default" w:ascii="Times New Roman" w:hAnsi="Times New Roman" w:eastAsia="宋体" w:cs="Times New Roman"/>
                      <w:color w:val="auto"/>
                      <w:kern w:val="0"/>
                      <w:sz w:val="22"/>
                      <w:szCs w:val="22"/>
                      <w:highlight w:val="none"/>
                    </w:rPr>
                  </w:pPr>
                </w:p>
              </w:tc>
              <w:tc>
                <w:tcPr>
                  <w:tcW w:w="549"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总磷</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0.0032</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w:t>
                  </w:r>
                </w:p>
              </w:tc>
              <w:tc>
                <w:tcPr>
                  <w:tcW w:w="49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 w:val="22"/>
                      <w:szCs w:val="22"/>
                      <w:highlight w:val="none"/>
                    </w:rPr>
                  </w:pPr>
                </w:p>
              </w:tc>
              <w:tc>
                <w:tcPr>
                  <w:tcW w:w="549"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总氮</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0.0384</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w:t>
                  </w:r>
                </w:p>
              </w:tc>
              <w:tc>
                <w:tcPr>
                  <w:tcW w:w="49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 w:val="22"/>
                      <w:szCs w:val="22"/>
                      <w:highlight w:val="none"/>
                    </w:rPr>
                  </w:pPr>
                </w:p>
              </w:tc>
              <w:tc>
                <w:tcPr>
                  <w:tcW w:w="549"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动植物油</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0.0512</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50%</w:t>
                  </w:r>
                </w:p>
              </w:tc>
              <w:tc>
                <w:tcPr>
                  <w:tcW w:w="49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制</w:t>
                  </w:r>
                  <w:r>
                    <w:rPr>
                      <w:rFonts w:hint="default" w:ascii="Times New Roman" w:hAnsi="Times New Roman" w:eastAsia="宋体" w:cs="Times New Roman"/>
                      <w:color w:val="auto"/>
                      <w:kern w:val="0"/>
                      <w:szCs w:val="21"/>
                      <w:highlight w:val="none"/>
                      <w:lang w:val="en-US" w:eastAsia="zh-CN"/>
                    </w:rPr>
                    <w:t>软水设备</w:t>
                  </w:r>
                </w:p>
              </w:tc>
              <w:tc>
                <w:tcPr>
                  <w:tcW w:w="553"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不含氮磷</w:t>
                  </w:r>
                  <w:r>
                    <w:rPr>
                      <w:rFonts w:hint="eastAsia" w:cs="Times New Roman"/>
                      <w:color w:val="auto"/>
                      <w:kern w:val="0"/>
                      <w:szCs w:val="21"/>
                      <w:highlight w:val="none"/>
                      <w:lang w:val="en-US" w:eastAsia="zh-CN"/>
                    </w:rPr>
                    <w:t>生产</w:t>
                  </w:r>
                  <w:r>
                    <w:rPr>
                      <w:rFonts w:hint="default" w:ascii="Times New Roman" w:hAnsi="Times New Roman" w:eastAsia="宋体" w:cs="Times New Roman"/>
                      <w:color w:val="auto"/>
                      <w:kern w:val="0"/>
                      <w:szCs w:val="21"/>
                      <w:highlight w:val="none"/>
                    </w:rPr>
                    <w:t>废水</w:t>
                  </w:r>
                </w:p>
              </w:tc>
              <w:tc>
                <w:tcPr>
                  <w:tcW w:w="9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废水量</w:t>
                  </w:r>
                </w:p>
              </w:tc>
              <w:tc>
                <w:tcPr>
                  <w:tcW w:w="11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i w:val="0"/>
                      <w:iCs w:val="0"/>
                      <w:color w:val="000000"/>
                      <w:kern w:val="0"/>
                      <w:sz w:val="21"/>
                      <w:szCs w:val="21"/>
                      <w:u w:val="none"/>
                      <w:lang w:val="en-US" w:eastAsia="zh-CN" w:bidi="ar"/>
                    </w:rPr>
                    <w:t>3</w:t>
                  </w:r>
                </w:p>
              </w:tc>
              <w:tc>
                <w:tcPr>
                  <w:tcW w:w="343"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5"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水质较好，可直接达标接管</w:t>
                  </w: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493"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9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1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0.000</w:t>
                  </w:r>
                  <w:r>
                    <w:rPr>
                      <w:rFonts w:hint="eastAsia" w:ascii="Times New Roman" w:hAnsi="Times New Roman" w:cs="Times New Roman"/>
                      <w:i w:val="0"/>
                      <w:iCs w:val="0"/>
                      <w:color w:val="000000"/>
                      <w:kern w:val="0"/>
                      <w:sz w:val="21"/>
                      <w:szCs w:val="21"/>
                      <w:u w:val="none"/>
                      <w:lang w:val="en-US" w:eastAsia="zh-CN" w:bidi="ar"/>
                    </w:rPr>
                    <w:t>2</w:t>
                  </w:r>
                </w:p>
              </w:tc>
              <w:tc>
                <w:tcPr>
                  <w:tcW w:w="343"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49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9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1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0.000</w:t>
                  </w:r>
                  <w:r>
                    <w:rPr>
                      <w:rFonts w:hint="eastAsia" w:ascii="Times New Roman" w:hAnsi="Times New Roman" w:cs="Times New Roman"/>
                      <w:i w:val="0"/>
                      <w:iCs w:val="0"/>
                      <w:color w:val="000000"/>
                      <w:kern w:val="0"/>
                      <w:sz w:val="21"/>
                      <w:szCs w:val="21"/>
                      <w:u w:val="none"/>
                      <w:lang w:val="en-US" w:eastAsia="zh-CN" w:bidi="ar"/>
                    </w:rPr>
                    <w:t>3</w:t>
                  </w:r>
                </w:p>
              </w:tc>
              <w:tc>
                <w:tcPr>
                  <w:tcW w:w="343"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49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restart"/>
                  <w:noWrap w:val="0"/>
                  <w:vAlign w:val="center"/>
                </w:tcPr>
                <w:p>
                  <w:pPr>
                    <w:widowControl/>
                    <w:adjustRightInd w:val="0"/>
                    <w:snapToGrid w:val="0"/>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制纯废水</w:t>
                  </w:r>
                </w:p>
              </w:tc>
              <w:tc>
                <w:tcPr>
                  <w:tcW w:w="553"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不含氮磷生产废水</w:t>
                  </w:r>
                </w:p>
              </w:tc>
              <w:tc>
                <w:tcPr>
                  <w:tcW w:w="9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废水量</w:t>
                  </w:r>
                </w:p>
              </w:tc>
              <w:tc>
                <w:tcPr>
                  <w:tcW w:w="11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343"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5"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袋式过滤器+安保过滤器+超滤+反渗透</w:t>
                  </w: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493" w:type="pct"/>
                  <w:vMerge w:val="restart"/>
                  <w:noWrap w:val="0"/>
                  <w:vAlign w:val="center"/>
                </w:tcPr>
                <w:p>
                  <w:pPr>
                    <w:widowControl/>
                    <w:adjustRightInd w:val="0"/>
                    <w:snapToGrid w:val="0"/>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9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1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0.0044</w:t>
                  </w:r>
                </w:p>
              </w:tc>
              <w:tc>
                <w:tcPr>
                  <w:tcW w:w="343"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49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9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1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0.0055</w:t>
                  </w:r>
                </w:p>
              </w:tc>
              <w:tc>
                <w:tcPr>
                  <w:tcW w:w="343"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49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549" w:type="pct"/>
                  <w:vMerge w:val="restar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清洗工序</w:t>
                  </w:r>
                </w:p>
              </w:tc>
              <w:tc>
                <w:tcPr>
                  <w:tcW w:w="553"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含氮磷生产废水</w:t>
                  </w:r>
                </w:p>
              </w:tc>
              <w:tc>
                <w:tcPr>
                  <w:tcW w:w="549"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废水量</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343"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10</w:t>
                  </w:r>
                  <w:r>
                    <w:rPr>
                      <w:rFonts w:hint="default" w:ascii="Times New Roman" w:hAnsi="Times New Roman" w:eastAsia="宋体" w:cs="Times New Roman"/>
                      <w:color w:val="auto"/>
                      <w:kern w:val="0"/>
                      <w:szCs w:val="21"/>
                      <w:highlight w:val="none"/>
                    </w:rPr>
                    <w:t>0t/d</w:t>
                  </w:r>
                </w:p>
              </w:tc>
              <w:tc>
                <w:tcPr>
                  <w:tcW w:w="755" w:type="pct"/>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pacing w:val="-10"/>
                      <w:szCs w:val="21"/>
                      <w:highlight w:val="none"/>
                    </w:rPr>
                    <w:t>原水-离心分离-硝化-反硝化-生物超滤-生物转盘-沉淀-中和-过滤-二级反渗透-净水回用、浓水蒸发浓缩</w:t>
                  </w:r>
                  <w:r>
                    <w:rPr>
                      <w:rFonts w:hint="default" w:ascii="Times New Roman" w:hAnsi="Times New Roman" w:eastAsia="宋体" w:cs="Times New Roman"/>
                      <w:color w:val="auto"/>
                      <w:kern w:val="0"/>
                      <w:szCs w:val="21"/>
                      <w:highlight w:val="none"/>
                    </w:rPr>
                    <w:t>后委外</w:t>
                  </w:r>
                </w:p>
              </w:tc>
              <w:tc>
                <w:tcPr>
                  <w:tcW w:w="470" w:type="pct"/>
                  <w:noWrap w:val="0"/>
                  <w:vAlign w:val="center"/>
                </w:tcPr>
                <w:p>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spacing w:val="-10"/>
                      <w:szCs w:val="21"/>
                      <w:highlight w:val="none"/>
                    </w:rPr>
                    <w:t>-</w:t>
                  </w:r>
                </w:p>
              </w:tc>
              <w:tc>
                <w:tcPr>
                  <w:tcW w:w="493" w:type="pct"/>
                  <w:vMerge w:val="restar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49" w:type="pct"/>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pH</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pacing w:val="-10"/>
                      <w:szCs w:val="21"/>
                      <w:highlight w:val="none"/>
                    </w:rPr>
                    <w:t>-</w:t>
                  </w:r>
                </w:p>
              </w:tc>
              <w:tc>
                <w:tcPr>
                  <w:tcW w:w="493" w:type="pct"/>
                  <w:vMerge w:val="continue"/>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 w:val="22"/>
                      <w:szCs w:val="22"/>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0.3440 </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pacing w:val="-10"/>
                      <w:szCs w:val="21"/>
                      <w:highlight w:val="none"/>
                    </w:rPr>
                    <w:t>94.2%</w:t>
                  </w:r>
                </w:p>
              </w:tc>
              <w:tc>
                <w:tcPr>
                  <w:tcW w:w="493" w:type="pct"/>
                  <w:vMerge w:val="continue"/>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 w:val="22"/>
                      <w:szCs w:val="22"/>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0.0344 </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pacing w:val="-10"/>
                      <w:szCs w:val="21"/>
                      <w:highlight w:val="none"/>
                    </w:rPr>
                    <w:t>66.6%</w:t>
                  </w:r>
                </w:p>
              </w:tc>
              <w:tc>
                <w:tcPr>
                  <w:tcW w:w="493" w:type="pct"/>
                  <w:vMerge w:val="continue"/>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 w:val="22"/>
                      <w:szCs w:val="22"/>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0.0065 </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pacing w:val="-10"/>
                      <w:szCs w:val="21"/>
                      <w:highlight w:val="none"/>
                    </w:rPr>
                    <w:t>50%</w:t>
                  </w:r>
                </w:p>
              </w:tc>
              <w:tc>
                <w:tcPr>
                  <w:tcW w:w="493" w:type="pct"/>
                  <w:vMerge w:val="continue"/>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 w:val="22"/>
                      <w:szCs w:val="22"/>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0.0086 </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pacing w:val="-10"/>
                      <w:szCs w:val="21"/>
                      <w:highlight w:val="none"/>
                    </w:rPr>
                    <w:t>99.6%</w:t>
                  </w:r>
                </w:p>
              </w:tc>
              <w:tc>
                <w:tcPr>
                  <w:tcW w:w="493" w:type="pct"/>
                  <w:vMerge w:val="continue"/>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 w:val="22"/>
                      <w:szCs w:val="22"/>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总氮</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0.0129 </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pacing w:val="-10"/>
                      <w:szCs w:val="21"/>
                      <w:highlight w:val="none"/>
                    </w:rPr>
                    <w:t>49.4%</w:t>
                  </w:r>
                </w:p>
              </w:tc>
              <w:tc>
                <w:tcPr>
                  <w:tcW w:w="493" w:type="pct"/>
                  <w:vMerge w:val="continue"/>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549"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 w:val="22"/>
                      <w:szCs w:val="22"/>
                      <w:highlight w:val="none"/>
                    </w:rPr>
                  </w:pPr>
                </w:p>
              </w:tc>
              <w:tc>
                <w:tcPr>
                  <w:tcW w:w="55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5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64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12000</w:t>
                  </w:r>
                </w:p>
              </w:tc>
              <w:tc>
                <w:tcPr>
                  <w:tcW w:w="11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0.5160 </w:t>
                  </w:r>
                </w:p>
              </w:tc>
              <w:tc>
                <w:tcPr>
                  <w:tcW w:w="34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755"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c>
                <w:tcPr>
                  <w:tcW w:w="470" w:type="pc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pacing w:val="-10"/>
                      <w:szCs w:val="21"/>
                      <w:highlight w:val="none"/>
                    </w:rPr>
                    <w:t>99.9%</w:t>
                  </w:r>
                </w:p>
              </w:tc>
              <w:tc>
                <w:tcPr>
                  <w:tcW w:w="493" w:type="pct"/>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highlight w:val="none"/>
                    </w:rPr>
                  </w:pPr>
                </w:p>
              </w:tc>
            </w:tr>
          </w:tbl>
          <w:p>
            <w:pPr>
              <w:adjustRightInd w:val="0"/>
              <w:snapToGrid w:val="0"/>
              <w:ind w:firstLine="286" w:firstLineChars="179"/>
              <w:jc w:val="both"/>
              <w:rPr>
                <w:rFonts w:hint="default" w:ascii="Times New Roman" w:hAnsi="Times New Roman" w:eastAsia="宋体" w:cs="Times New Roman"/>
                <w:bCs/>
                <w:color w:val="auto"/>
                <w:spacing w:val="-10"/>
                <w:sz w:val="18"/>
                <w:szCs w:val="21"/>
                <w:highlight w:val="none"/>
              </w:rPr>
            </w:pPr>
            <w:r>
              <w:rPr>
                <w:rFonts w:hint="default" w:ascii="Times New Roman" w:hAnsi="Times New Roman" w:eastAsia="宋体" w:cs="Times New Roman"/>
                <w:bCs/>
                <w:color w:val="auto"/>
                <w:spacing w:val="-10"/>
                <w:sz w:val="18"/>
                <w:szCs w:val="21"/>
                <w:highlight w:val="none"/>
              </w:rPr>
              <w:t>备注：进入</w:t>
            </w:r>
            <w:r>
              <w:rPr>
                <w:rFonts w:hint="eastAsia" w:cs="Times New Roman"/>
                <w:bCs/>
                <w:color w:val="auto"/>
                <w:spacing w:val="-10"/>
                <w:sz w:val="18"/>
                <w:szCs w:val="21"/>
                <w:highlight w:val="none"/>
                <w:lang w:val="en-US" w:eastAsia="zh-CN"/>
              </w:rPr>
              <w:t>污水</w:t>
            </w:r>
            <w:r>
              <w:rPr>
                <w:rFonts w:hint="default" w:ascii="Times New Roman" w:hAnsi="Times New Roman" w:eastAsia="宋体" w:cs="Times New Roman"/>
                <w:bCs/>
                <w:color w:val="auto"/>
                <w:spacing w:val="-10"/>
                <w:sz w:val="18"/>
                <w:szCs w:val="21"/>
                <w:highlight w:val="none"/>
              </w:rPr>
              <w:t>处理站的废水的原水浓度来源于现有废水样实测数据；污水处理站净化效率参考“污水处理站年工业污水最大处理能力升级至36000吨项目”环评报告中的数据。</w:t>
            </w:r>
          </w:p>
          <w:p>
            <w:pPr>
              <w:keepNext w:val="0"/>
              <w:keepLines w:val="0"/>
              <w:pageBreakBefore w:val="0"/>
              <w:numPr>
                <w:ilvl w:val="0"/>
                <w:numId w:val="0"/>
              </w:numPr>
              <w:kinsoku/>
              <w:wordWrap/>
              <w:overflowPunct/>
              <w:topLinePunct w:val="0"/>
              <w:autoSpaceDE/>
              <w:autoSpaceDN/>
              <w:bidi w:val="0"/>
              <w:adjustRightInd w:val="0"/>
              <w:snapToGrid w:val="0"/>
              <w:spacing w:line="500" w:lineRule="exact"/>
              <w:ind w:left="420" w:leftChars="0"/>
              <w:jc w:val="both"/>
              <w:textAlignment w:val="auto"/>
              <w:rPr>
                <w:rFonts w:hint="default" w:ascii="Times New Roman" w:hAnsi="Times New Roman" w:eastAsia="宋体" w:cs="Times New Roman"/>
                <w:b/>
                <w:bCs/>
                <w:color w:val="auto"/>
                <w:spacing w:val="-10"/>
                <w:sz w:val="24"/>
                <w:szCs w:val="21"/>
                <w:highlight w:val="none"/>
              </w:rPr>
            </w:pPr>
            <w:r>
              <w:rPr>
                <w:rFonts w:hint="eastAsia" w:cs="Times New Roman"/>
                <w:b/>
                <w:bCs/>
                <w:color w:val="auto"/>
                <w:spacing w:val="-10"/>
                <w:sz w:val="24"/>
                <w:szCs w:val="21"/>
                <w:highlight w:val="none"/>
                <w:lang w:eastAsia="zh-CN"/>
              </w:rPr>
              <w:t>（</w:t>
            </w:r>
            <w:r>
              <w:rPr>
                <w:rFonts w:hint="eastAsia" w:cs="Times New Roman"/>
                <w:b/>
                <w:bCs/>
                <w:color w:val="auto"/>
                <w:spacing w:val="-10"/>
                <w:sz w:val="24"/>
                <w:szCs w:val="21"/>
                <w:highlight w:val="none"/>
                <w:lang w:val="en-US" w:eastAsia="zh-CN"/>
              </w:rPr>
              <w:t>2</w:t>
            </w:r>
            <w:r>
              <w:rPr>
                <w:rFonts w:hint="eastAsia" w:cs="Times New Roman"/>
                <w:b/>
                <w:bCs/>
                <w:color w:val="auto"/>
                <w:spacing w:val="-10"/>
                <w:sz w:val="24"/>
                <w:szCs w:val="21"/>
                <w:highlight w:val="none"/>
                <w:lang w:eastAsia="zh-CN"/>
              </w:rPr>
              <w:t>）</w:t>
            </w:r>
            <w:r>
              <w:rPr>
                <w:rFonts w:hint="default" w:ascii="Times New Roman" w:hAnsi="Times New Roman" w:eastAsia="宋体" w:cs="Times New Roman"/>
                <w:b/>
                <w:bCs/>
                <w:color w:val="auto"/>
                <w:spacing w:val="-10"/>
                <w:sz w:val="24"/>
                <w:szCs w:val="21"/>
                <w:highlight w:val="none"/>
              </w:rPr>
              <w:t>本项目废水污染物治理措施可行性分析</w:t>
            </w:r>
          </w:p>
          <w:p>
            <w:pPr>
              <w:keepNext w:val="0"/>
              <w:keepLines w:val="0"/>
              <w:pageBreakBefore w:val="0"/>
              <w:numPr>
                <w:ilvl w:val="0"/>
                <w:numId w:val="10"/>
              </w:numPr>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厂内污水处理站依托处理可行性分析</w:t>
            </w:r>
          </w:p>
          <w:p>
            <w:pPr>
              <w:keepNext w:val="0"/>
              <w:keepLines w:val="0"/>
              <w:pageBreakBefore w:val="0"/>
              <w:kinsoku/>
              <w:wordWrap/>
              <w:overflowPunct/>
              <w:topLinePunct w:val="0"/>
              <w:autoSpaceDE/>
              <w:autoSpaceDN/>
              <w:bidi w:val="0"/>
              <w:adjustRightInd w:val="0"/>
              <w:snapToGrid w:val="0"/>
              <w:spacing w:line="500" w:lineRule="exact"/>
              <w:ind w:firstLine="400"/>
              <w:jc w:val="both"/>
              <w:textAlignment w:val="auto"/>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本项目新增的</w:t>
            </w:r>
            <w:r>
              <w:rPr>
                <w:rFonts w:hint="eastAsia" w:cs="Times New Roman"/>
                <w:bCs/>
                <w:color w:val="auto"/>
                <w:spacing w:val="-10"/>
                <w:sz w:val="24"/>
                <w:szCs w:val="21"/>
                <w:highlight w:val="none"/>
                <w:lang w:val="en-US" w:eastAsia="zh-CN"/>
              </w:rPr>
              <w:t>工艺</w:t>
            </w:r>
            <w:r>
              <w:rPr>
                <w:rFonts w:hint="default" w:ascii="Times New Roman" w:hAnsi="Times New Roman" w:eastAsia="宋体" w:cs="Times New Roman"/>
                <w:bCs/>
                <w:color w:val="auto"/>
                <w:spacing w:val="-10"/>
                <w:sz w:val="24"/>
                <w:szCs w:val="21"/>
                <w:highlight w:val="none"/>
              </w:rPr>
              <w:t>废水</w:t>
            </w:r>
            <w:r>
              <w:rPr>
                <w:rFonts w:hint="default" w:ascii="Times New Roman" w:hAnsi="Times New Roman" w:eastAsia="宋体" w:cs="Times New Roman"/>
                <w:bCs/>
                <w:color w:val="auto"/>
                <w:spacing w:val="-10"/>
                <w:sz w:val="24"/>
                <w:szCs w:val="21"/>
                <w:highlight w:val="none"/>
                <w:lang w:eastAsia="zh-CN"/>
              </w:rPr>
              <w:t>（</w:t>
            </w:r>
            <w:r>
              <w:rPr>
                <w:rFonts w:hint="default" w:ascii="Times New Roman" w:hAnsi="Times New Roman" w:eastAsia="宋体" w:cs="Times New Roman"/>
                <w:bCs/>
                <w:color w:val="auto"/>
                <w:spacing w:val="-10"/>
                <w:sz w:val="24"/>
                <w:szCs w:val="21"/>
                <w:highlight w:val="none"/>
                <w:lang w:val="en-US" w:eastAsia="zh-CN"/>
              </w:rPr>
              <w:t>清洗废水）</w:t>
            </w:r>
            <w:r>
              <w:rPr>
                <w:rFonts w:hint="eastAsia" w:cs="Times New Roman"/>
                <w:bCs/>
                <w:color w:val="auto"/>
                <w:spacing w:val="-10"/>
                <w:sz w:val="24"/>
                <w:szCs w:val="21"/>
                <w:highlight w:val="none"/>
                <w:lang w:val="en-US" w:eastAsia="zh-CN"/>
              </w:rPr>
              <w:t>43t/a</w:t>
            </w:r>
            <w:r>
              <w:rPr>
                <w:rFonts w:hint="default" w:ascii="Times New Roman" w:hAnsi="Times New Roman" w:eastAsia="宋体" w:cs="Times New Roman"/>
                <w:bCs/>
                <w:color w:val="auto"/>
                <w:spacing w:val="-10"/>
                <w:sz w:val="24"/>
                <w:szCs w:val="21"/>
                <w:highlight w:val="none"/>
              </w:rPr>
              <w:t>进入厂内现有污水处理站处理，处理站设计处理规模1</w:t>
            </w:r>
            <w:r>
              <w:rPr>
                <w:rFonts w:hint="default" w:ascii="Times New Roman" w:hAnsi="Times New Roman" w:eastAsia="宋体" w:cs="Times New Roman"/>
                <w:bCs/>
                <w:color w:val="auto"/>
                <w:spacing w:val="-10"/>
                <w:sz w:val="24"/>
                <w:szCs w:val="21"/>
                <w:highlight w:val="none"/>
                <w:lang w:val="en-US" w:eastAsia="zh-CN"/>
              </w:rPr>
              <w:t>0</w:t>
            </w:r>
            <w:r>
              <w:rPr>
                <w:rFonts w:hint="default" w:ascii="Times New Roman" w:hAnsi="Times New Roman" w:eastAsia="宋体" w:cs="Times New Roman"/>
                <w:bCs/>
                <w:color w:val="auto"/>
                <w:spacing w:val="-10"/>
                <w:sz w:val="24"/>
                <w:szCs w:val="21"/>
                <w:highlight w:val="none"/>
              </w:rPr>
              <w:t>0t/</w:t>
            </w:r>
            <w:r>
              <w:rPr>
                <w:rFonts w:hint="default" w:ascii="Times New Roman" w:hAnsi="Times New Roman" w:eastAsia="宋体" w:cs="Times New Roman"/>
                <w:bCs/>
                <w:color w:val="auto"/>
                <w:spacing w:val="-10"/>
                <w:sz w:val="24"/>
                <w:szCs w:val="21"/>
                <w:highlight w:val="none"/>
                <w:lang w:val="en-US" w:eastAsia="zh-CN"/>
              </w:rPr>
              <w:t>d</w:t>
            </w:r>
            <w:r>
              <w:rPr>
                <w:rFonts w:hint="default" w:ascii="Times New Roman" w:hAnsi="Times New Roman" w:eastAsia="宋体" w:cs="Times New Roman"/>
                <w:bCs/>
                <w:color w:val="auto"/>
                <w:spacing w:val="-10"/>
                <w:sz w:val="24"/>
                <w:szCs w:val="21"/>
                <w:highlight w:val="none"/>
              </w:rPr>
              <w:t>，处理工艺如下：</w:t>
            </w:r>
          </w:p>
          <w:p>
            <w:pPr>
              <w:adjustRightInd w:val="0"/>
              <w:snapToGrid w:val="0"/>
              <w:spacing w:line="500" w:lineRule="exact"/>
              <w:jc w:val="center"/>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color w:val="auto"/>
                <w:highlight w:val="none"/>
              </w:rPr>
              <w:drawing>
                <wp:anchor distT="0" distB="0" distL="114935" distR="114935" simplePos="0" relativeHeight="251662336" behindDoc="0" locked="0" layoutInCell="1" allowOverlap="1">
                  <wp:simplePos x="0" y="0"/>
                  <wp:positionH relativeFrom="column">
                    <wp:posOffset>448310</wp:posOffset>
                  </wp:positionH>
                  <wp:positionV relativeFrom="paragraph">
                    <wp:posOffset>76835</wp:posOffset>
                  </wp:positionV>
                  <wp:extent cx="4443095" cy="6659880"/>
                  <wp:effectExtent l="0" t="0" r="1905" b="2032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4443095" cy="6659880"/>
                          </a:xfrm>
                          <a:prstGeom prst="rect">
                            <a:avLst/>
                          </a:prstGeom>
                          <a:noFill/>
                          <a:ln>
                            <a:noFill/>
                          </a:ln>
                        </pic:spPr>
                      </pic:pic>
                    </a:graphicData>
                  </a:graphic>
                </wp:anchor>
              </w:drawing>
            </w:r>
            <w:r>
              <w:rPr>
                <w:rFonts w:hint="default" w:ascii="Times New Roman" w:hAnsi="Times New Roman" w:eastAsia="宋体" w:cs="Times New Roman"/>
                <w:b/>
                <w:bCs/>
                <w:color w:val="auto"/>
                <w:spacing w:val="-10"/>
                <w:sz w:val="24"/>
                <w:szCs w:val="21"/>
                <w:highlight w:val="none"/>
              </w:rPr>
              <w:t>图4-</w:t>
            </w:r>
            <w:r>
              <w:rPr>
                <w:rFonts w:hint="eastAsia" w:cs="Times New Roman"/>
                <w:b/>
                <w:bCs/>
                <w:color w:val="auto"/>
                <w:spacing w:val="-10"/>
                <w:sz w:val="24"/>
                <w:szCs w:val="21"/>
                <w:highlight w:val="none"/>
                <w:lang w:val="en-US" w:eastAsia="zh-CN"/>
              </w:rPr>
              <w:t>1</w:t>
            </w:r>
            <w:r>
              <w:rPr>
                <w:rFonts w:hint="default" w:ascii="Times New Roman" w:hAnsi="Times New Roman" w:eastAsia="宋体" w:cs="Times New Roman"/>
                <w:b/>
                <w:bCs/>
                <w:color w:val="auto"/>
                <w:spacing w:val="-10"/>
                <w:sz w:val="24"/>
                <w:szCs w:val="21"/>
                <w:highlight w:val="none"/>
              </w:rPr>
              <w:t xml:space="preserve">   现有</w:t>
            </w:r>
            <w:r>
              <w:rPr>
                <w:rFonts w:hint="eastAsia" w:cs="Times New Roman"/>
                <w:b/>
                <w:bCs/>
                <w:color w:val="auto"/>
                <w:spacing w:val="-10"/>
                <w:sz w:val="24"/>
                <w:szCs w:val="21"/>
                <w:highlight w:val="none"/>
                <w:lang w:val="en-US" w:eastAsia="zh-CN"/>
              </w:rPr>
              <w:t>污水</w:t>
            </w:r>
            <w:r>
              <w:rPr>
                <w:rFonts w:hint="default" w:ascii="Times New Roman" w:hAnsi="Times New Roman" w:eastAsia="宋体" w:cs="Times New Roman"/>
                <w:b/>
                <w:bCs/>
                <w:color w:val="auto"/>
                <w:spacing w:val="-10"/>
                <w:sz w:val="24"/>
                <w:szCs w:val="21"/>
                <w:highlight w:val="none"/>
              </w:rPr>
              <w:t>处理站处理工艺流程图</w:t>
            </w:r>
          </w:p>
          <w:p>
            <w:pPr>
              <w:adjustRightInd w:val="0"/>
              <w:snapToGrid w:val="0"/>
              <w:spacing w:line="500" w:lineRule="exact"/>
              <w:ind w:firstLine="442" w:firstLineChars="200"/>
              <w:jc w:val="both"/>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处理工艺简介：</w:t>
            </w:r>
          </w:p>
          <w:p>
            <w:pPr>
              <w:adjustRightInd w:val="0"/>
              <w:snapToGrid w:val="0"/>
              <w:spacing w:line="500" w:lineRule="exact"/>
              <w:ind w:firstLine="440" w:firstLineChars="200"/>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污水处理站主要由生物处理装置和中水回用装置两部分组成。</w:t>
            </w:r>
          </w:p>
          <w:p>
            <w:pPr>
              <w:adjustRightInd w:val="0"/>
              <w:snapToGrid w:val="0"/>
              <w:spacing w:line="500" w:lineRule="exact"/>
              <w:ind w:firstLine="440" w:firstLineChars="200"/>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生物处理装置：</w:t>
            </w:r>
          </w:p>
          <w:p>
            <w:pPr>
              <w:adjustRightInd w:val="0"/>
              <w:snapToGrid w:val="0"/>
              <w:spacing w:line="500" w:lineRule="exact"/>
              <w:ind w:firstLine="440" w:firstLineChars="200"/>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大的固体杂质和水分离，固体杂质在斜坡上升的过程中，固体和水分离。小固体、油、水通过高速运转分离析出。在设备中中间轴和外腔高速运转，水、油、固体杂质由于密度不一样，会分层隔离，通过分层后，固体杂质通过轴的向前推动，从最顶部端口排出，油通过调节挡板的高度，从尾部通过重力排出，废水由于密度比水大，覆盖在腔的最内壁，通过一定的压力从尾部排出。然后通过超滤膜的过滤效果，分离出细小固体，细分子油。再通过厌氧，好氧过程，去除水中的有机物。最终经沉淀将其他固体杂质在斜面爬坡的过程沉淀析出。</w:t>
            </w:r>
          </w:p>
          <w:p>
            <w:pPr>
              <w:adjustRightInd w:val="0"/>
              <w:snapToGrid w:val="0"/>
              <w:spacing w:line="500" w:lineRule="exact"/>
              <w:ind w:firstLine="440" w:firstLineChars="200"/>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超滤是一种流体切向流动和压力驱动的过滤过程并按分子量大小来分离颗粒。超滤膜的孔径大约在 0.005 至 0.1 微米范围内（MWCO 约为 1000-500000）。溶解物质和比膜孔径小的物质将能作为透过液透过滤膜，不能透过滤膜的物质被慢慢浓缩于排放液中。因此产水（透过液）将含有水、离子和小分子物质，而胶体物质，颗粒，细菌，病毒和原生动物将被膜去除。</w:t>
            </w:r>
          </w:p>
          <w:p>
            <w:pPr>
              <w:adjustRightInd w:val="0"/>
              <w:snapToGrid w:val="0"/>
              <w:spacing w:line="500" w:lineRule="exact"/>
              <w:ind w:firstLine="440" w:firstLineChars="200"/>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中水回用装置：</w:t>
            </w:r>
          </w:p>
          <w:p>
            <w:pPr>
              <w:adjustRightInd w:val="0"/>
              <w:snapToGrid w:val="0"/>
              <w:spacing w:line="500" w:lineRule="exact"/>
              <w:ind w:firstLine="440" w:firstLineChars="200"/>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中水回用系统反渗透装置包括一级反渗透装置及二级浓水反渗透装置。当把相同体积的稀溶液和浓液分别置于一容器的两侧，中间用半透膜阻隔，稀溶液中的溶剂将自然的穿过半透膜，向浓溶液侧流动，浓溶液侧的液面会比稀溶液的液面高出一定高度，形成一个压力差，达到渗透平衡状态，此种压力差即为渗透压。若在浓溶液侧施加一个大于渗透压的压力时，浓溶液中的溶剂会向稀溶液流动，此种溶剂的流动方向与原来渗透的方向相反，这一过程称为反渗透。</w:t>
            </w:r>
          </w:p>
          <w:p>
            <w:pPr>
              <w:adjustRightInd w:val="0"/>
              <w:snapToGrid w:val="0"/>
              <w:spacing w:line="500" w:lineRule="exact"/>
              <w:ind w:firstLine="440" w:firstLineChars="200"/>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本系统采用蒸发器的结构，蒸发器由加热器、分离器及汽水分离器组成。蒸发器系统工作时，废水进入加热器，加热器在蒸汽作用下进行加热。本系统在运转后，便进入负压状态，加热器加热产生的蒸汽进入分离器进行分离，然后通过汽水分离器进入冷凝器，在冷凝水的作用下，蒸汽变为蒸馏水，最终进入蒸馏水接收罐，等待回用。</w:t>
            </w:r>
          </w:p>
          <w:p>
            <w:pPr>
              <w:adjustRightInd w:val="0"/>
              <w:snapToGrid w:val="0"/>
              <w:spacing w:line="500" w:lineRule="exact"/>
              <w:ind w:firstLine="440" w:firstLineChars="200"/>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加药系统采用自动控制系统。其中，盐酸在储存以吨桶方式放置，吨桶是密闭的容器，吨桶下方设置是二次容器，吨桶中的盐酸通过泵站打到密封罐中，密封罐中的盐酸根据设备系统的信号控制，通过电磁阀门的开关实现自动加药，所有的盐酸都是在密闭容器和密闭管道中使用。因此，加药系统的盐酸不会挥发。</w:t>
            </w:r>
          </w:p>
          <w:p>
            <w:pPr>
              <w:numPr>
                <w:ilvl w:val="0"/>
                <w:numId w:val="11"/>
              </w:numPr>
              <w:adjustRightInd w:val="0"/>
              <w:snapToGrid w:val="0"/>
              <w:spacing w:line="500" w:lineRule="exact"/>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处理规模的依托可行性分析</w:t>
            </w:r>
          </w:p>
          <w:p>
            <w:pPr>
              <w:adjustRightInd w:val="0"/>
              <w:snapToGrid w:val="0"/>
              <w:spacing w:line="500" w:lineRule="exact"/>
              <w:ind w:left="-28" w:firstLine="424" w:firstLineChars="193"/>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污水处理站设计处理能力为36000t/a（100t/</w:t>
            </w:r>
            <w:r>
              <w:rPr>
                <w:rFonts w:hint="default" w:ascii="Times New Roman" w:hAnsi="Times New Roman" w:eastAsia="宋体" w:cs="Times New Roman"/>
                <w:bCs/>
                <w:color w:val="auto"/>
                <w:spacing w:val="-10"/>
                <w:sz w:val="24"/>
                <w:szCs w:val="21"/>
                <w:highlight w:val="none"/>
                <w:lang w:val="en-US" w:eastAsia="zh-CN"/>
              </w:rPr>
              <w:t>d</w:t>
            </w:r>
            <w:r>
              <w:rPr>
                <w:rFonts w:hint="default" w:ascii="Times New Roman" w:hAnsi="Times New Roman" w:eastAsia="宋体" w:cs="Times New Roman"/>
                <w:bCs/>
                <w:color w:val="auto"/>
                <w:spacing w:val="-10"/>
                <w:sz w:val="24"/>
                <w:szCs w:val="21"/>
                <w:highlight w:val="none"/>
              </w:rPr>
              <w:t>），现有已批项目</w:t>
            </w:r>
            <w:r>
              <w:rPr>
                <w:rFonts w:hint="eastAsia" w:cs="Times New Roman"/>
                <w:bCs/>
                <w:color w:val="auto"/>
                <w:spacing w:val="-10"/>
                <w:sz w:val="24"/>
                <w:szCs w:val="21"/>
                <w:highlight w:val="none"/>
                <w:lang w:val="en-US" w:eastAsia="zh-CN"/>
              </w:rPr>
              <w:t>进入污水</w:t>
            </w:r>
            <w:r>
              <w:rPr>
                <w:rFonts w:hint="default" w:ascii="Times New Roman" w:hAnsi="Times New Roman" w:eastAsia="宋体" w:cs="Times New Roman"/>
                <w:bCs/>
                <w:color w:val="auto"/>
                <w:spacing w:val="-10"/>
                <w:sz w:val="24"/>
                <w:szCs w:val="21"/>
                <w:highlight w:val="none"/>
              </w:rPr>
              <w:t>处理站的废水量为</w:t>
            </w:r>
            <w:r>
              <w:rPr>
                <w:rFonts w:hint="eastAsia" w:cs="Times New Roman"/>
                <w:bCs/>
                <w:color w:val="auto"/>
                <w:spacing w:val="-10"/>
                <w:sz w:val="24"/>
                <w:szCs w:val="21"/>
                <w:highlight w:val="none"/>
                <w:lang w:val="en-US" w:eastAsia="zh-CN"/>
              </w:rPr>
              <w:t>20164.6</w:t>
            </w:r>
            <w:r>
              <w:rPr>
                <w:rFonts w:hint="default" w:ascii="Times New Roman" w:hAnsi="Times New Roman" w:eastAsia="宋体" w:cs="Times New Roman"/>
                <w:bCs/>
                <w:color w:val="auto"/>
                <w:spacing w:val="-10"/>
                <w:sz w:val="24"/>
                <w:szCs w:val="21"/>
                <w:highlight w:val="none"/>
              </w:rPr>
              <w:t>t/a（</w:t>
            </w:r>
            <w:r>
              <w:rPr>
                <w:rFonts w:hint="eastAsia" w:cs="Times New Roman"/>
                <w:bCs/>
                <w:color w:val="auto"/>
                <w:spacing w:val="-10"/>
                <w:sz w:val="24"/>
                <w:szCs w:val="21"/>
                <w:highlight w:val="none"/>
                <w:lang w:val="en-US" w:eastAsia="zh-CN"/>
              </w:rPr>
              <w:t>56.01</w:t>
            </w:r>
            <w:r>
              <w:rPr>
                <w:rFonts w:hint="default" w:ascii="Times New Roman" w:hAnsi="Times New Roman" w:eastAsia="宋体" w:cs="Times New Roman"/>
                <w:bCs/>
                <w:color w:val="auto"/>
                <w:spacing w:val="-10"/>
                <w:sz w:val="24"/>
                <w:szCs w:val="21"/>
                <w:highlight w:val="none"/>
              </w:rPr>
              <w:t>t/d），本项目新增接入的废水量为</w:t>
            </w:r>
            <w:r>
              <w:rPr>
                <w:rFonts w:hint="eastAsia" w:cs="Times New Roman"/>
                <w:bCs/>
                <w:color w:val="auto"/>
                <w:spacing w:val="-10"/>
                <w:sz w:val="24"/>
                <w:szCs w:val="21"/>
                <w:highlight w:val="none"/>
                <w:lang w:val="en-US" w:eastAsia="zh-CN"/>
              </w:rPr>
              <w:t>10757.4</w:t>
            </w:r>
            <w:r>
              <w:rPr>
                <w:rFonts w:hint="default" w:ascii="Times New Roman" w:hAnsi="Times New Roman" w:eastAsia="宋体" w:cs="Times New Roman"/>
                <w:bCs/>
                <w:color w:val="auto"/>
                <w:spacing w:val="-10"/>
                <w:sz w:val="24"/>
                <w:szCs w:val="21"/>
                <w:highlight w:val="none"/>
              </w:rPr>
              <w:t>t/a（</w:t>
            </w:r>
            <w:r>
              <w:rPr>
                <w:rFonts w:hint="eastAsia" w:cs="Times New Roman"/>
                <w:bCs/>
                <w:color w:val="auto"/>
                <w:spacing w:val="-10"/>
                <w:sz w:val="24"/>
                <w:szCs w:val="21"/>
                <w:highlight w:val="none"/>
                <w:lang w:val="en-US" w:eastAsia="zh-CN"/>
              </w:rPr>
              <w:t>29.88</w:t>
            </w:r>
            <w:r>
              <w:rPr>
                <w:rFonts w:hint="default" w:ascii="Times New Roman" w:hAnsi="Times New Roman" w:eastAsia="宋体" w:cs="Times New Roman"/>
                <w:bCs/>
                <w:color w:val="auto"/>
                <w:spacing w:val="-10"/>
                <w:sz w:val="24"/>
                <w:szCs w:val="21"/>
                <w:highlight w:val="none"/>
              </w:rPr>
              <w:t>t/d），</w:t>
            </w:r>
            <w:r>
              <w:rPr>
                <w:rFonts w:hint="eastAsia" w:cs="Times New Roman"/>
                <w:bCs/>
                <w:color w:val="auto"/>
                <w:spacing w:val="-10"/>
                <w:sz w:val="24"/>
                <w:szCs w:val="21"/>
                <w:highlight w:val="none"/>
                <w:lang w:val="en-US" w:eastAsia="zh-CN"/>
              </w:rPr>
              <w:t>削减接入的中水冷却塔排水3207t/a（8.91t/d），因此本项目建成后污水处理站的废水处理量为27715t/a（76.99t/d），</w:t>
            </w:r>
            <w:r>
              <w:rPr>
                <w:rFonts w:hint="default" w:ascii="Times New Roman" w:hAnsi="Times New Roman" w:eastAsia="宋体" w:cs="Times New Roman"/>
                <w:bCs/>
                <w:color w:val="auto"/>
                <w:spacing w:val="-10"/>
                <w:sz w:val="24"/>
                <w:szCs w:val="21"/>
                <w:highlight w:val="none"/>
              </w:rPr>
              <w:t>未突破</w:t>
            </w:r>
            <w:r>
              <w:rPr>
                <w:rFonts w:hint="eastAsia" w:cs="Times New Roman"/>
                <w:bCs/>
                <w:color w:val="auto"/>
                <w:spacing w:val="-10"/>
                <w:sz w:val="24"/>
                <w:szCs w:val="21"/>
                <w:highlight w:val="none"/>
                <w:lang w:val="en-US" w:eastAsia="zh-CN"/>
              </w:rPr>
              <w:t>污水</w:t>
            </w:r>
            <w:r>
              <w:rPr>
                <w:rFonts w:hint="default" w:ascii="Times New Roman" w:hAnsi="Times New Roman" w:eastAsia="宋体" w:cs="Times New Roman"/>
                <w:bCs/>
                <w:color w:val="auto"/>
                <w:spacing w:val="-10"/>
                <w:sz w:val="24"/>
                <w:szCs w:val="21"/>
                <w:highlight w:val="none"/>
              </w:rPr>
              <w:t>处理站设计处理量。</w:t>
            </w:r>
          </w:p>
          <w:p>
            <w:pPr>
              <w:numPr>
                <w:ilvl w:val="0"/>
                <w:numId w:val="11"/>
              </w:numPr>
              <w:adjustRightInd w:val="0"/>
              <w:snapToGrid w:val="0"/>
              <w:spacing w:line="500" w:lineRule="exact"/>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接纳路线的可行性分析</w:t>
            </w:r>
          </w:p>
          <w:p>
            <w:pPr>
              <w:adjustRightInd w:val="0"/>
              <w:snapToGrid w:val="0"/>
              <w:spacing w:line="500" w:lineRule="exact"/>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 xml:space="preserve">    本项目新增废水可依托现有管路送至污水处理站，只需将新增产水设施的废水管路连接到车间内就近区域的废水支管即可，车间内和厂区内的污水支管和总管在涉及初期均已留有余量。故接管路线可行。</w:t>
            </w:r>
          </w:p>
          <w:p>
            <w:pPr>
              <w:numPr>
                <w:ilvl w:val="0"/>
                <w:numId w:val="11"/>
              </w:numPr>
              <w:adjustRightInd w:val="0"/>
              <w:snapToGrid w:val="0"/>
              <w:spacing w:line="500" w:lineRule="exact"/>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处理工艺和水质负荷的可行性分析</w:t>
            </w:r>
          </w:p>
          <w:p>
            <w:pPr>
              <w:adjustRightInd w:val="0"/>
              <w:snapToGrid w:val="0"/>
              <w:spacing w:line="500" w:lineRule="exact"/>
              <w:ind w:firstLine="390"/>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本项目新增废水主要为</w:t>
            </w:r>
            <w:r>
              <w:rPr>
                <w:rFonts w:hint="eastAsia" w:cs="Times New Roman"/>
                <w:bCs/>
                <w:color w:val="auto"/>
                <w:spacing w:val="-10"/>
                <w:sz w:val="24"/>
                <w:szCs w:val="21"/>
                <w:highlight w:val="none"/>
                <w:lang w:val="en-US" w:eastAsia="zh-CN"/>
              </w:rPr>
              <w:t>RO膜系统废水</w:t>
            </w:r>
            <w:r>
              <w:rPr>
                <w:rFonts w:hint="default" w:ascii="Times New Roman" w:hAnsi="Times New Roman" w:eastAsia="宋体" w:cs="Times New Roman"/>
                <w:bCs/>
                <w:color w:val="auto"/>
                <w:spacing w:val="-10"/>
                <w:sz w:val="24"/>
                <w:szCs w:val="21"/>
                <w:highlight w:val="none"/>
              </w:rPr>
              <w:t>，现有</w:t>
            </w:r>
            <w:r>
              <w:rPr>
                <w:rFonts w:hint="eastAsia" w:cs="Times New Roman"/>
                <w:bCs/>
                <w:color w:val="auto"/>
                <w:spacing w:val="-10"/>
                <w:sz w:val="24"/>
                <w:szCs w:val="21"/>
                <w:highlight w:val="none"/>
                <w:lang w:val="en-US" w:eastAsia="zh-CN"/>
              </w:rPr>
              <w:t>污水</w:t>
            </w:r>
            <w:r>
              <w:rPr>
                <w:rFonts w:hint="default" w:ascii="Times New Roman" w:hAnsi="Times New Roman" w:eastAsia="宋体" w:cs="Times New Roman"/>
                <w:bCs/>
                <w:color w:val="auto"/>
                <w:spacing w:val="-10"/>
                <w:sz w:val="24"/>
                <w:szCs w:val="21"/>
                <w:highlight w:val="none"/>
              </w:rPr>
              <w:t>处理站处理的废水中大部分均为清洗废水，</w:t>
            </w:r>
            <w:r>
              <w:rPr>
                <w:rFonts w:hint="eastAsia" w:cs="Times New Roman"/>
                <w:bCs/>
                <w:color w:val="auto"/>
                <w:spacing w:val="-10"/>
                <w:sz w:val="24"/>
                <w:szCs w:val="21"/>
                <w:highlight w:val="none"/>
                <w:lang w:val="en-US" w:eastAsia="zh-CN"/>
              </w:rPr>
              <w:t>RO膜系统废水中污染物含量较低，不含对微生物的有毒有害物质</w:t>
            </w:r>
            <w:r>
              <w:rPr>
                <w:rFonts w:hint="default" w:ascii="Times New Roman" w:hAnsi="Times New Roman" w:eastAsia="宋体" w:cs="Times New Roman"/>
                <w:bCs/>
                <w:color w:val="auto"/>
                <w:spacing w:val="-10"/>
                <w:sz w:val="24"/>
                <w:szCs w:val="21"/>
                <w:highlight w:val="none"/>
              </w:rPr>
              <w:t>，</w:t>
            </w:r>
            <w:r>
              <w:rPr>
                <w:rFonts w:hint="eastAsia" w:cs="Times New Roman"/>
                <w:bCs/>
                <w:color w:val="auto"/>
                <w:spacing w:val="-10"/>
                <w:sz w:val="24"/>
                <w:szCs w:val="21"/>
                <w:highlight w:val="none"/>
                <w:lang w:val="en-US" w:eastAsia="zh-CN"/>
              </w:rPr>
              <w:t>因此经一段时间调试后，最终不会</w:t>
            </w:r>
            <w:r>
              <w:rPr>
                <w:rFonts w:hint="default" w:ascii="Times New Roman" w:hAnsi="Times New Roman" w:eastAsia="宋体" w:cs="Times New Roman"/>
                <w:bCs/>
                <w:color w:val="auto"/>
                <w:spacing w:val="-10"/>
                <w:sz w:val="24"/>
                <w:szCs w:val="21"/>
                <w:highlight w:val="none"/>
              </w:rPr>
              <w:t>影响废水处理系统的生化处理设施。从处理工艺和效果方面均具备依托可行性。</w:t>
            </w:r>
          </w:p>
          <w:p>
            <w:pPr>
              <w:numPr>
                <w:ilvl w:val="0"/>
                <w:numId w:val="11"/>
              </w:numPr>
              <w:adjustRightInd w:val="0"/>
              <w:snapToGrid w:val="0"/>
              <w:spacing w:line="500" w:lineRule="exact"/>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出水回用可行性分析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40" w:firstLineChars="200"/>
              <w:jc w:val="both"/>
              <w:textAlignment w:val="auto"/>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本项目</w:t>
            </w:r>
            <w:r>
              <w:rPr>
                <w:rFonts w:hint="eastAsia" w:cs="Times New Roman"/>
                <w:bCs/>
                <w:color w:val="auto"/>
                <w:spacing w:val="-10"/>
                <w:sz w:val="24"/>
                <w:szCs w:val="21"/>
                <w:highlight w:val="none"/>
                <w:lang w:val="en-US" w:eastAsia="zh-CN"/>
              </w:rPr>
              <w:t>建成后</w:t>
            </w:r>
            <w:r>
              <w:rPr>
                <w:rFonts w:hint="default" w:ascii="Times New Roman" w:hAnsi="Times New Roman" w:eastAsia="宋体" w:cs="Times New Roman"/>
                <w:bCs/>
                <w:color w:val="auto"/>
                <w:spacing w:val="-10"/>
                <w:sz w:val="24"/>
                <w:szCs w:val="21"/>
                <w:highlight w:val="none"/>
              </w:rPr>
              <w:t>进入</w:t>
            </w:r>
            <w:r>
              <w:rPr>
                <w:rFonts w:hint="eastAsia" w:cs="Times New Roman"/>
                <w:bCs/>
                <w:color w:val="auto"/>
                <w:spacing w:val="-10"/>
                <w:sz w:val="24"/>
                <w:szCs w:val="21"/>
                <w:highlight w:val="none"/>
                <w:lang w:val="en-US" w:eastAsia="zh-CN"/>
              </w:rPr>
              <w:t>污</w:t>
            </w:r>
            <w:r>
              <w:rPr>
                <w:rFonts w:hint="default" w:ascii="Times New Roman" w:hAnsi="Times New Roman" w:eastAsia="宋体" w:cs="Times New Roman"/>
                <w:bCs/>
                <w:color w:val="auto"/>
                <w:spacing w:val="-10"/>
                <w:sz w:val="24"/>
                <w:szCs w:val="21"/>
                <w:highlight w:val="none"/>
              </w:rPr>
              <w:t>水处理站的水量为</w:t>
            </w:r>
            <w:r>
              <w:rPr>
                <w:rFonts w:hint="eastAsia" w:cs="Times New Roman"/>
                <w:bCs/>
                <w:color w:val="auto"/>
                <w:spacing w:val="-10"/>
                <w:sz w:val="24"/>
                <w:szCs w:val="21"/>
                <w:highlight w:val="none"/>
                <w:lang w:val="en-US" w:eastAsia="zh-CN"/>
              </w:rPr>
              <w:t>27715t/a（76.99t/d）</w:t>
            </w:r>
            <w:r>
              <w:rPr>
                <w:rFonts w:hint="default" w:ascii="Times New Roman" w:hAnsi="Times New Roman" w:eastAsia="宋体" w:cs="Times New Roman"/>
                <w:bCs/>
                <w:color w:val="auto"/>
                <w:spacing w:val="-10"/>
                <w:sz w:val="24"/>
                <w:szCs w:val="21"/>
                <w:highlight w:val="none"/>
              </w:rPr>
              <w:t>，</w:t>
            </w:r>
            <w:r>
              <w:rPr>
                <w:rFonts w:hint="eastAsia" w:cs="Times New Roman"/>
                <w:bCs/>
                <w:color w:val="auto"/>
                <w:spacing w:val="-10"/>
                <w:sz w:val="24"/>
                <w:szCs w:val="21"/>
                <w:highlight w:val="none"/>
                <w:lang w:val="en-US" w:eastAsia="zh-CN"/>
              </w:rPr>
              <w:t>污水处理站出水</w:t>
            </w:r>
            <w:r>
              <w:rPr>
                <w:rFonts w:hint="default" w:ascii="Times New Roman" w:hAnsi="Times New Roman" w:eastAsia="宋体" w:cs="Times New Roman"/>
                <w:bCs/>
                <w:color w:val="auto"/>
                <w:spacing w:val="-10"/>
                <w:sz w:val="24"/>
                <w:szCs w:val="21"/>
                <w:highlight w:val="none"/>
              </w:rPr>
              <w:t>回用于中水冷却塔。建设单位中水冷却塔循环用水系统按照污水处理站最大处理规模100t/d设计，本项目建成后尚未达到设计处理规模，故亦不会超过中水冷却塔的循环用水系统负荷。</w:t>
            </w:r>
          </w:p>
          <w:p>
            <w:pPr>
              <w:adjustRightInd w:val="0"/>
              <w:snapToGrid w:val="0"/>
              <w:spacing w:line="500" w:lineRule="exact"/>
              <w:ind w:firstLine="390"/>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根据现有项目实际运行情况，建设单位</w:t>
            </w:r>
            <w:r>
              <w:rPr>
                <w:rFonts w:hint="eastAsia" w:cs="Times New Roman"/>
                <w:bCs/>
                <w:color w:val="auto"/>
                <w:spacing w:val="-10"/>
                <w:sz w:val="24"/>
                <w:szCs w:val="21"/>
                <w:highlight w:val="none"/>
                <w:lang w:val="en-US" w:eastAsia="zh-CN"/>
              </w:rPr>
              <w:t>工艺</w:t>
            </w:r>
            <w:r>
              <w:rPr>
                <w:rFonts w:hint="default" w:ascii="Times New Roman" w:hAnsi="Times New Roman" w:eastAsia="宋体" w:cs="Times New Roman"/>
                <w:bCs/>
                <w:color w:val="auto"/>
                <w:spacing w:val="-10"/>
                <w:sz w:val="24"/>
                <w:szCs w:val="21"/>
                <w:highlight w:val="none"/>
              </w:rPr>
              <w:t>废水处理系统出水稳定并达到《城市污水再生利用 工业用水水质》（GB/T19923-2005）标准要求，能满足中水冷却塔的用水水质要求吧。</w:t>
            </w:r>
          </w:p>
          <w:p>
            <w:pPr>
              <w:adjustRightInd w:val="0"/>
              <w:snapToGrid w:val="0"/>
              <w:spacing w:line="500" w:lineRule="exact"/>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 xml:space="preserve">    </w:t>
            </w:r>
            <w:r>
              <w:rPr>
                <w:rFonts w:hint="default" w:ascii="Times New Roman" w:hAnsi="Times New Roman" w:eastAsia="宋体" w:cs="Times New Roman"/>
                <w:bCs/>
                <w:color w:val="auto"/>
                <w:spacing w:val="-10"/>
                <w:sz w:val="24"/>
                <w:szCs w:val="21"/>
                <w:highlight w:val="none"/>
              </w:rPr>
              <w:t>综上：本项目新增的</w:t>
            </w:r>
            <w:r>
              <w:rPr>
                <w:rFonts w:hint="eastAsia" w:cs="Times New Roman"/>
                <w:bCs/>
                <w:color w:val="auto"/>
                <w:spacing w:val="-10"/>
                <w:sz w:val="24"/>
                <w:szCs w:val="21"/>
                <w:highlight w:val="none"/>
                <w:lang w:val="en-US" w:eastAsia="zh-CN"/>
              </w:rPr>
              <w:t>工艺废水、空调系统排水、RO膜系统废水</w:t>
            </w:r>
            <w:r>
              <w:rPr>
                <w:rFonts w:hint="default" w:ascii="Times New Roman" w:hAnsi="Times New Roman" w:eastAsia="宋体" w:cs="Times New Roman"/>
                <w:bCs/>
                <w:color w:val="auto"/>
                <w:spacing w:val="-10"/>
                <w:sz w:val="24"/>
                <w:szCs w:val="21"/>
                <w:highlight w:val="none"/>
              </w:rPr>
              <w:t>接入现有污水处理站处理后回用于中水冷却塔，实现零排放的方案可行。</w:t>
            </w:r>
          </w:p>
          <w:p>
            <w:pPr>
              <w:adjustRightInd w:val="0"/>
              <w:snapToGrid w:val="0"/>
              <w:spacing w:line="500" w:lineRule="exact"/>
              <w:ind w:firstLine="435"/>
              <w:jc w:val="both"/>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color w:val="auto"/>
                <w:spacing w:val="-10"/>
                <w:sz w:val="24"/>
                <w:szCs w:val="21"/>
                <w:highlight w:val="none"/>
              </w:rPr>
              <w:t>2）生活污水和不含氮磷生产废水污染治理措施及接管可行性分析</w:t>
            </w:r>
          </w:p>
          <w:p>
            <w:pPr>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本项目生活污水排放量</w:t>
            </w:r>
            <w:r>
              <w:rPr>
                <w:rFonts w:hint="eastAsia" w:cs="Times New Roman"/>
                <w:color w:val="auto"/>
                <w:sz w:val="24"/>
                <w:highlight w:val="none"/>
                <w:lang w:val="en-US" w:eastAsia="zh-CN"/>
              </w:rPr>
              <w:t>640</w:t>
            </w:r>
            <w:r>
              <w:rPr>
                <w:rFonts w:hint="default"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rPr>
              <w:t>/a，经化粪池</w:t>
            </w:r>
            <w:r>
              <w:rPr>
                <w:rFonts w:hint="eastAsia" w:cs="Times New Roman"/>
                <w:color w:val="auto"/>
                <w:sz w:val="24"/>
                <w:highlight w:val="none"/>
                <w:lang w:val="en-US" w:eastAsia="zh-CN"/>
              </w:rPr>
              <w:t>/隔油池</w:t>
            </w:r>
            <w:r>
              <w:rPr>
                <w:rFonts w:hint="default" w:ascii="Times New Roman" w:hAnsi="Times New Roman" w:eastAsia="宋体" w:cs="Times New Roman"/>
                <w:color w:val="auto"/>
                <w:sz w:val="24"/>
                <w:highlight w:val="none"/>
              </w:rPr>
              <w:t>预处理后，各污染物排放浓度分别为COD 375mg/L、SS 240mg/L、氨氮 40mg/L、总氮 60mg/L、总磷5 mg/L</w:t>
            </w:r>
            <w:r>
              <w:rPr>
                <w:rFonts w:hint="eastAsia" w:cs="Times New Roman"/>
                <w:color w:val="auto"/>
                <w:sz w:val="24"/>
                <w:highlight w:val="none"/>
                <w:lang w:eastAsia="zh-CN"/>
              </w:rPr>
              <w:t>、</w:t>
            </w:r>
            <w:r>
              <w:rPr>
                <w:rFonts w:hint="eastAsia" w:cs="Times New Roman"/>
                <w:color w:val="auto"/>
                <w:sz w:val="24"/>
                <w:highlight w:val="none"/>
                <w:lang w:val="en-US" w:eastAsia="zh-CN"/>
              </w:rPr>
              <w:t>动植物油80mg/L；制软水</w:t>
            </w:r>
            <w:r>
              <w:rPr>
                <w:rFonts w:hint="default" w:ascii="Times New Roman" w:hAnsi="Times New Roman" w:eastAsia="宋体" w:cs="Times New Roman"/>
                <w:color w:val="auto"/>
                <w:sz w:val="24"/>
                <w:highlight w:val="none"/>
              </w:rPr>
              <w:t>废水</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 xml:space="preserve">t/a，污染物排放浓度分别为COD </w:t>
            </w:r>
            <w:r>
              <w:rPr>
                <w:rFonts w:hint="eastAsia" w:cs="Times New Roman"/>
                <w:color w:val="auto"/>
                <w:sz w:val="24"/>
                <w:highlight w:val="none"/>
                <w:lang w:val="en-US" w:eastAsia="zh-CN"/>
              </w:rPr>
              <w:t>80</w:t>
            </w:r>
            <w:r>
              <w:rPr>
                <w:rFonts w:hint="default" w:ascii="Times New Roman" w:hAnsi="Times New Roman" w:eastAsia="宋体" w:cs="Times New Roman"/>
                <w:color w:val="auto"/>
                <w:sz w:val="24"/>
                <w:highlight w:val="none"/>
              </w:rPr>
              <w:t xml:space="preserve">mg/L、SS </w:t>
            </w:r>
            <w:r>
              <w:rPr>
                <w:rFonts w:hint="eastAsia" w:cs="Times New Roman"/>
                <w:color w:val="auto"/>
                <w:sz w:val="24"/>
                <w:highlight w:val="none"/>
                <w:lang w:val="en-US" w:eastAsia="zh-CN"/>
              </w:rPr>
              <w:t>100</w:t>
            </w:r>
            <w:r>
              <w:rPr>
                <w:rFonts w:hint="default" w:ascii="Times New Roman" w:hAnsi="Times New Roman" w:eastAsia="宋体" w:cs="Times New Roman"/>
                <w:color w:val="auto"/>
                <w:sz w:val="24"/>
                <w:highlight w:val="none"/>
              </w:rPr>
              <w:t>mg/L。达到《污水综合排放标准》（GB8978-1996）表4中的三级标准：COD≤500mg/L、SS≤400mg/L</w:t>
            </w:r>
            <w:r>
              <w:rPr>
                <w:rFonts w:hint="eastAsia" w:cs="Times New Roman"/>
                <w:color w:val="auto"/>
                <w:sz w:val="24"/>
                <w:highlight w:val="none"/>
                <w:lang w:eastAsia="zh-CN"/>
              </w:rPr>
              <w:t>、</w:t>
            </w:r>
            <w:r>
              <w:rPr>
                <w:rFonts w:hint="eastAsia" w:cs="Times New Roman"/>
                <w:color w:val="auto"/>
                <w:sz w:val="24"/>
                <w:highlight w:val="none"/>
                <w:lang w:val="en-US" w:eastAsia="zh-CN"/>
              </w:rPr>
              <w:t>动植物油</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100mg/L</w:t>
            </w:r>
            <w:r>
              <w:rPr>
                <w:rFonts w:hint="default" w:ascii="Times New Roman" w:hAnsi="Times New Roman" w:eastAsia="宋体" w:cs="Times New Roman"/>
                <w:color w:val="auto"/>
                <w:sz w:val="24"/>
                <w:highlight w:val="none"/>
              </w:rPr>
              <w:t>，以及《污水排入城镇下水道水质标准》(GB/T 31962-2015)表1中A等级标准：氨氮≤45mg/L、总氮≤70mg/L、总磷≤8mg/L。接入</w:t>
            </w:r>
            <w:r>
              <w:rPr>
                <w:rFonts w:hint="default" w:ascii="Times New Roman" w:hAnsi="Times New Roman" w:eastAsia="宋体" w:cs="Times New Roman"/>
                <w:color w:val="auto"/>
                <w:sz w:val="24"/>
                <w:highlight w:val="none"/>
                <w:lang w:val="en-US" w:eastAsia="zh-CN"/>
              </w:rPr>
              <w:t>新城</w:t>
            </w:r>
            <w:r>
              <w:rPr>
                <w:rFonts w:hint="default" w:ascii="Times New Roman" w:hAnsi="Times New Roman" w:eastAsia="宋体" w:cs="Times New Roman"/>
                <w:color w:val="auto"/>
                <w:sz w:val="24"/>
                <w:highlight w:val="none"/>
              </w:rPr>
              <w:t>水处理厂集中处理，尾水排入走马塘河。</w:t>
            </w:r>
          </w:p>
          <w:p>
            <w:pPr>
              <w:pStyle w:val="53"/>
              <w:widowControl w:val="0"/>
              <w:numPr>
                <w:ilvl w:val="0"/>
                <w:numId w:val="12"/>
              </w:numPr>
              <w:adjustRightInd w:val="0"/>
              <w:snapToGrid w:val="0"/>
              <w:ind w:firstLineChars="0"/>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污水处理工艺</w:t>
            </w:r>
          </w:p>
          <w:p>
            <w:pPr>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新城污水处理厂（四期工程）水处理工艺流程见图4-5所示。</w:t>
            </w:r>
          </w:p>
          <w:p>
            <w:pPr>
              <w:adjustRightInd w:val="0"/>
              <w:snapToGrid w:val="0"/>
              <w:spacing w:line="360" w:lineRule="auto"/>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4"/>
                <w:highlight w:val="none"/>
              </w:rPr>
              <w:drawing>
                <wp:inline distT="0" distB="0" distL="114300" distR="114300">
                  <wp:extent cx="5601970" cy="2346325"/>
                  <wp:effectExtent l="0" t="0" r="11430" b="15875"/>
                  <wp:docPr id="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pic:cNvPicPr>
                            <a:picLocks noChangeAspect="1"/>
                          </pic:cNvPicPr>
                        </pic:nvPicPr>
                        <pic:blipFill>
                          <a:blip r:embed="rId41"/>
                          <a:stretch>
                            <a:fillRect/>
                          </a:stretch>
                        </pic:blipFill>
                        <pic:spPr>
                          <a:xfrm>
                            <a:off x="0" y="0"/>
                            <a:ext cx="5601970" cy="2346325"/>
                          </a:xfrm>
                          <a:prstGeom prst="rect">
                            <a:avLst/>
                          </a:prstGeom>
                          <a:noFill/>
                          <a:ln>
                            <a:noFill/>
                          </a:ln>
                        </pic:spPr>
                      </pic:pic>
                    </a:graphicData>
                  </a:graphic>
                </wp:inline>
              </w:drawing>
            </w:r>
          </w:p>
          <w:p>
            <w:pPr>
              <w:pStyle w:val="2"/>
              <w:adjustRightInd w:val="0"/>
              <w:spacing w:before="0" w:after="0" w:line="500" w:lineRule="exact"/>
              <w:ind w:right="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图4-3   新城水处理厂水处理工艺流程图</w:t>
            </w:r>
          </w:p>
          <w:p>
            <w:pPr>
              <w:adjustRightInd w:val="0"/>
              <w:snapToGrid w:val="0"/>
              <w:spacing w:line="500" w:lineRule="exact"/>
              <w:ind w:firstLine="482" w:firstLineChars="200"/>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②接管可行性分析</w:t>
            </w:r>
          </w:p>
          <w:p>
            <w:pPr>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a.处理规模的可行性分析</w:t>
            </w:r>
          </w:p>
          <w:p>
            <w:pPr>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本项目废水拟接入新城水处理厂进行处理，新城水处理厂一至三期工程已接近饱和，新建四期工程设计处理能力2万m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/d，尚有余量。</w:t>
            </w:r>
          </w:p>
          <w:p>
            <w:pPr>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b.工艺及接管标准上的可行性分析</w:t>
            </w:r>
          </w:p>
          <w:p>
            <w:pPr>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本项目新增接管水质可达到《污水综合排放标准》（GB8978-1996）表4中三级标准及《污水排入城镇下水道水质标准》（GB/T31962-2015）表1中A等级标准，满足新城水处理厂水质接管要求。且本项目新增</w:t>
            </w:r>
            <w:r>
              <w:rPr>
                <w:rFonts w:hint="eastAsia" w:cs="Times New Roman"/>
                <w:color w:val="auto"/>
                <w:sz w:val="24"/>
                <w:highlight w:val="none"/>
                <w:lang w:val="en-US" w:eastAsia="zh-CN"/>
              </w:rPr>
              <w:t>生产</w:t>
            </w:r>
            <w:r>
              <w:rPr>
                <w:rFonts w:hint="default" w:ascii="Times New Roman" w:hAnsi="Times New Roman" w:eastAsia="宋体" w:cs="Times New Roman"/>
                <w:color w:val="auto"/>
                <w:sz w:val="24"/>
                <w:highlight w:val="none"/>
              </w:rPr>
              <w:t>废水为</w:t>
            </w:r>
            <w:r>
              <w:rPr>
                <w:rFonts w:hint="eastAsia" w:cs="Times New Roman"/>
                <w:color w:val="auto"/>
                <w:sz w:val="24"/>
                <w:highlight w:val="none"/>
                <w:lang w:val="en-US" w:eastAsia="zh-CN"/>
              </w:rPr>
              <w:t>制软水废水</w:t>
            </w:r>
            <w:r>
              <w:rPr>
                <w:rFonts w:hint="default" w:ascii="Times New Roman" w:hAnsi="Times New Roman" w:eastAsia="宋体" w:cs="Times New Roman"/>
                <w:color w:val="auto"/>
                <w:sz w:val="24"/>
                <w:highlight w:val="none"/>
              </w:rPr>
              <w:t>，水质较好，不会对新城水处理厂造成水质负荷。</w:t>
            </w:r>
          </w:p>
          <w:p>
            <w:pPr>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c.时间、管线、位置落实情况</w:t>
            </w:r>
          </w:p>
          <w:p>
            <w:pPr>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目前项目依托厂内现有污水管网和污水接管口，该污水管网至新城水处理厂的排污管道已铺设完成。</w:t>
            </w:r>
          </w:p>
          <w:p>
            <w:pPr>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因此，本项目废水接入新城水处理厂集中处理是可行的。本项目建成后水污染物接管排放情况如下表：</w:t>
            </w:r>
          </w:p>
          <w:p>
            <w:pPr>
              <w:adjustRightInd w:val="0"/>
              <w:snapToGrid w:val="0"/>
              <w:spacing w:line="500" w:lineRule="exact"/>
              <w:jc w:val="center"/>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表4-</w:t>
            </w:r>
            <w:r>
              <w:rPr>
                <w:rFonts w:hint="eastAsia" w:cs="Times New Roman"/>
                <w:b/>
                <w:bCs/>
                <w:color w:val="auto"/>
                <w:spacing w:val="-10"/>
                <w:sz w:val="24"/>
                <w:szCs w:val="21"/>
                <w:highlight w:val="none"/>
                <w:lang w:val="en-US" w:eastAsia="zh-CN"/>
              </w:rPr>
              <w:t>2</w:t>
            </w:r>
            <w:r>
              <w:rPr>
                <w:rFonts w:hint="default" w:ascii="Times New Roman" w:hAnsi="Times New Roman" w:eastAsia="宋体" w:cs="Times New Roman"/>
                <w:b/>
                <w:bCs/>
                <w:color w:val="auto"/>
                <w:spacing w:val="-10"/>
                <w:sz w:val="24"/>
                <w:szCs w:val="21"/>
                <w:highlight w:val="none"/>
              </w:rPr>
              <w:t xml:space="preserve">    本项目建成后全厂水污染物排放情况表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396"/>
              <w:gridCol w:w="974"/>
              <w:gridCol w:w="513"/>
              <w:gridCol w:w="902"/>
              <w:gridCol w:w="717"/>
              <w:gridCol w:w="712"/>
              <w:gridCol w:w="502"/>
              <w:gridCol w:w="448"/>
              <w:gridCol w:w="715"/>
              <w:gridCol w:w="277"/>
              <w:gridCol w:w="254"/>
              <w:gridCol w:w="1493"/>
              <w:gridCol w:w="9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03" w:hRule="atLeast"/>
              </w:trPr>
              <w:tc>
                <w:tcPr>
                  <w:tcW w:w="225" w:type="pct"/>
                  <w:vMerge w:val="restar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废水类别</w:t>
                  </w:r>
                </w:p>
              </w:tc>
              <w:tc>
                <w:tcPr>
                  <w:tcW w:w="553" w:type="pct"/>
                  <w:vMerge w:val="restar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废水量</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（t/a）</w:t>
                  </w:r>
                </w:p>
              </w:tc>
              <w:tc>
                <w:tcPr>
                  <w:tcW w:w="291" w:type="pct"/>
                  <w:vMerge w:val="restar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污染物</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种类</w:t>
                  </w:r>
                </w:p>
              </w:tc>
              <w:tc>
                <w:tcPr>
                  <w:tcW w:w="919" w:type="pct"/>
                  <w:gridSpan w:val="2"/>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污染物排放源强</w:t>
                  </w:r>
                </w:p>
              </w:tc>
              <w:tc>
                <w:tcPr>
                  <w:tcW w:w="404" w:type="pct"/>
                  <w:vMerge w:val="restar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排放方式</w:t>
                  </w:r>
                </w:p>
              </w:tc>
              <w:tc>
                <w:tcPr>
                  <w:tcW w:w="285" w:type="pct"/>
                  <w:vMerge w:val="restar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排放去向</w:t>
                  </w:r>
                </w:p>
              </w:tc>
              <w:tc>
                <w:tcPr>
                  <w:tcW w:w="254" w:type="pct"/>
                  <w:vMerge w:val="restar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排放规律</w:t>
                  </w:r>
                </w:p>
              </w:tc>
              <w:tc>
                <w:tcPr>
                  <w:tcW w:w="1554" w:type="pct"/>
                  <w:gridSpan w:val="4"/>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排放口基本情况</w:t>
                  </w:r>
                </w:p>
              </w:tc>
              <w:tc>
                <w:tcPr>
                  <w:tcW w:w="512" w:type="pct"/>
                  <w:vMerge w:val="restar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接管</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标准</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02" w:hRule="atLeast"/>
              </w:trPr>
              <w:tc>
                <w:tcPr>
                  <w:tcW w:w="225" w:type="pct"/>
                  <w:vMerge w:val="continue"/>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p>
              </w:tc>
              <w:tc>
                <w:tcPr>
                  <w:tcW w:w="553" w:type="pct"/>
                  <w:vMerge w:val="continue"/>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p>
              </w:tc>
              <w:tc>
                <w:tcPr>
                  <w:tcW w:w="291" w:type="pct"/>
                  <w:vMerge w:val="continue"/>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p>
              </w:tc>
              <w:tc>
                <w:tcPr>
                  <w:tcW w:w="512" w:type="pc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排放浓度（mg/L）</w:t>
                  </w:r>
                </w:p>
              </w:tc>
              <w:tc>
                <w:tcPr>
                  <w:tcW w:w="407" w:type="pc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排放量（t/a）</w:t>
                  </w:r>
                </w:p>
              </w:tc>
              <w:tc>
                <w:tcPr>
                  <w:tcW w:w="404" w:type="pct"/>
                  <w:vMerge w:val="continue"/>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p>
              </w:tc>
              <w:tc>
                <w:tcPr>
                  <w:tcW w:w="285" w:type="pct"/>
                  <w:vMerge w:val="continue"/>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p>
              </w:tc>
              <w:tc>
                <w:tcPr>
                  <w:tcW w:w="254" w:type="pct"/>
                  <w:vMerge w:val="continue"/>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p>
              </w:tc>
              <w:tc>
                <w:tcPr>
                  <w:tcW w:w="406" w:type="pc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编号</w:t>
                  </w:r>
                </w:p>
              </w:tc>
              <w:tc>
                <w:tcPr>
                  <w:tcW w:w="157" w:type="pc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名称</w:t>
                  </w:r>
                </w:p>
              </w:tc>
              <w:tc>
                <w:tcPr>
                  <w:tcW w:w="144" w:type="pc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类型</w:t>
                  </w:r>
                </w:p>
              </w:tc>
              <w:tc>
                <w:tcPr>
                  <w:tcW w:w="845" w:type="pc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地理坐标</w:t>
                  </w:r>
                </w:p>
              </w:tc>
              <w:tc>
                <w:tcPr>
                  <w:tcW w:w="512" w:type="pct"/>
                  <w:vMerge w:val="continue"/>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0" w:hRule="atLeast"/>
              </w:trPr>
              <w:tc>
                <w:tcPr>
                  <w:tcW w:w="225" w:type="pct"/>
                  <w:vMerge w:val="restar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厂区综合污水</w:t>
                  </w:r>
                </w:p>
              </w:tc>
              <w:tc>
                <w:tcPr>
                  <w:tcW w:w="553" w:type="pct"/>
                  <w:vMerge w:val="restar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rPr>
                    <w:t>生活污水</w:t>
                  </w:r>
                  <w:r>
                    <w:rPr>
                      <w:rFonts w:hint="eastAsia" w:cs="Times New Roman"/>
                      <w:color w:val="auto"/>
                      <w:spacing w:val="-10"/>
                      <w:sz w:val="21"/>
                      <w:szCs w:val="21"/>
                      <w:highlight w:val="none"/>
                      <w:lang w:val="en-US" w:eastAsia="zh-CN"/>
                    </w:rPr>
                    <w:t>640</w:t>
                  </w:r>
                  <w:r>
                    <w:rPr>
                      <w:rFonts w:hint="default" w:ascii="Times New Roman" w:hAnsi="Times New Roman" w:eastAsia="宋体" w:cs="Times New Roman"/>
                      <w:color w:val="auto"/>
                      <w:spacing w:val="-10"/>
                      <w:sz w:val="21"/>
                      <w:szCs w:val="21"/>
                      <w:highlight w:val="none"/>
                    </w:rPr>
                    <w:t>；</w:t>
                  </w:r>
                  <w:r>
                    <w:rPr>
                      <w:rFonts w:hint="eastAsia" w:cs="Times New Roman"/>
                      <w:color w:val="auto"/>
                      <w:spacing w:val="-10"/>
                      <w:sz w:val="21"/>
                      <w:szCs w:val="21"/>
                      <w:highlight w:val="none"/>
                      <w:lang w:val="en-US" w:eastAsia="zh-CN"/>
                    </w:rPr>
                    <w:t>制软水废水3；，</w:t>
                  </w:r>
                  <w:r>
                    <w:rPr>
                      <w:rFonts w:hint="default" w:ascii="Times New Roman" w:hAnsi="Times New Roman" w:eastAsia="宋体" w:cs="Times New Roman"/>
                      <w:color w:val="auto"/>
                      <w:spacing w:val="-10"/>
                      <w:sz w:val="21"/>
                      <w:szCs w:val="21"/>
                      <w:highlight w:val="none"/>
                    </w:rPr>
                    <w:t>共计</w:t>
                  </w:r>
                  <w:r>
                    <w:rPr>
                      <w:rFonts w:hint="eastAsia" w:cs="Times New Roman"/>
                      <w:color w:val="auto"/>
                      <w:spacing w:val="-10"/>
                      <w:sz w:val="21"/>
                      <w:szCs w:val="21"/>
                      <w:highlight w:val="none"/>
                      <w:lang w:val="en-US" w:eastAsia="zh-CN"/>
                    </w:rPr>
                    <w:t>643t/a</w:t>
                  </w:r>
                </w:p>
              </w:tc>
              <w:tc>
                <w:tcPr>
                  <w:tcW w:w="2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9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000000"/>
                      <w:kern w:val="0"/>
                      <w:sz w:val="21"/>
                      <w:szCs w:val="21"/>
                      <w:u w:val="none"/>
                      <w:lang w:val="en-US" w:eastAsia="zh-CN" w:bidi="ar"/>
                    </w:rPr>
                    <w:t>348.83</w:t>
                  </w:r>
                </w:p>
              </w:tc>
              <w:tc>
                <w:tcPr>
                  <w:tcW w:w="7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0.224</w:t>
                  </w:r>
                  <w:r>
                    <w:rPr>
                      <w:rFonts w:hint="eastAsia"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404" w:type="pct"/>
                  <w:vMerge w:val="restar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 xml:space="preserve">直接排放 </w:t>
                  </w:r>
                  <w:r>
                    <w:rPr>
                      <w:rFonts w:hint="default" w:ascii="Times New Roman" w:hAnsi="Times New Roman" w:eastAsia="宋体" w:cs="Times New Roman"/>
                      <w:color w:val="auto"/>
                      <w:spacing w:val="-10"/>
                      <w:sz w:val="21"/>
                      <w:szCs w:val="21"/>
                      <w:highlight w:val="none"/>
                    </w:rPr>
                    <w:sym w:font="Wingdings 2" w:char="0052"/>
                  </w:r>
                </w:p>
                <w:p>
                  <w:pPr>
                    <w:adjustRightInd w:val="0"/>
                    <w:snapToGrid w:val="0"/>
                    <w:jc w:val="center"/>
                    <w:rPr>
                      <w:rFonts w:hint="default" w:ascii="Times New Roman" w:hAnsi="Times New Roman" w:eastAsia="宋体" w:cs="Times New Roman"/>
                      <w:color w:val="auto"/>
                      <w:spacing w:val="-10"/>
                      <w:sz w:val="21"/>
                      <w:szCs w:val="21"/>
                      <w:highlight w:val="none"/>
                    </w:rPr>
                  </w:pPr>
                  <w:r>
                    <w:rPr>
                      <w:rFonts w:hint="eastAsia" w:cs="Times New Roman"/>
                      <w:color w:val="auto"/>
                      <w:spacing w:val="-10"/>
                      <w:sz w:val="21"/>
                      <w:szCs w:val="21"/>
                      <w:highlight w:val="none"/>
                      <w:lang w:val="en-US" w:eastAsia="zh-CN"/>
                    </w:rPr>
                    <w:t>间</w:t>
                  </w:r>
                  <w:r>
                    <w:rPr>
                      <w:rFonts w:hint="default" w:ascii="Times New Roman" w:hAnsi="Times New Roman" w:eastAsia="宋体" w:cs="Times New Roman"/>
                      <w:color w:val="auto"/>
                      <w:spacing w:val="-10"/>
                      <w:sz w:val="21"/>
                      <w:szCs w:val="21"/>
                      <w:highlight w:val="none"/>
                    </w:rPr>
                    <w:t xml:space="preserve">接排放 </w:t>
                  </w:r>
                  <w:r>
                    <w:rPr>
                      <w:rFonts w:hint="default" w:ascii="Times New Roman" w:hAnsi="Times New Roman" w:eastAsia="宋体" w:cs="Times New Roman"/>
                      <w:color w:val="auto"/>
                      <w:spacing w:val="-10"/>
                      <w:sz w:val="21"/>
                      <w:szCs w:val="21"/>
                      <w:highlight w:val="none"/>
                    </w:rPr>
                    <w:sym w:font="Wingdings 2" w:char="00A3"/>
                  </w:r>
                </w:p>
              </w:tc>
              <w:tc>
                <w:tcPr>
                  <w:tcW w:w="285" w:type="pct"/>
                  <w:vMerge w:val="restar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lang w:val="en-US" w:eastAsia="zh-CN"/>
                    </w:rPr>
                    <w:t>新城</w:t>
                  </w:r>
                  <w:r>
                    <w:rPr>
                      <w:rFonts w:hint="default" w:ascii="Times New Roman" w:hAnsi="Times New Roman" w:eastAsia="宋体" w:cs="Times New Roman"/>
                      <w:color w:val="auto"/>
                      <w:spacing w:val="-10"/>
                      <w:sz w:val="21"/>
                      <w:szCs w:val="21"/>
                      <w:highlight w:val="none"/>
                    </w:rPr>
                    <w:t>水处理厂</w:t>
                  </w:r>
                </w:p>
              </w:tc>
              <w:tc>
                <w:tcPr>
                  <w:tcW w:w="254" w:type="pct"/>
                  <w:vMerge w:val="restar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非连续稳定排放，有规律</w:t>
                  </w:r>
                </w:p>
              </w:tc>
              <w:tc>
                <w:tcPr>
                  <w:tcW w:w="406" w:type="pct"/>
                  <w:vMerge w:val="restar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WS-001</w:t>
                  </w:r>
                </w:p>
              </w:tc>
              <w:tc>
                <w:tcPr>
                  <w:tcW w:w="157" w:type="pct"/>
                  <w:vMerge w:val="restar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总排口</w:t>
                  </w:r>
                </w:p>
              </w:tc>
              <w:tc>
                <w:tcPr>
                  <w:tcW w:w="144" w:type="pct"/>
                  <w:vMerge w:val="restar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一般排口</w:t>
                  </w:r>
                </w:p>
              </w:tc>
              <w:tc>
                <w:tcPr>
                  <w:tcW w:w="845" w:type="pct"/>
                  <w:vMerge w:val="restar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E：</w:t>
                  </w:r>
                  <w:r>
                    <w:rPr>
                      <w:rFonts w:hint="default" w:ascii="Times New Roman" w:hAnsi="Times New Roman" w:eastAsia="宋体" w:cs="Times New Roman"/>
                      <w:bCs/>
                      <w:color w:val="auto"/>
                      <w:spacing w:val="-10"/>
                      <w:sz w:val="21"/>
                      <w:szCs w:val="21"/>
                      <w:highlight w:val="none"/>
                    </w:rPr>
                    <w:t>120°24′30.85″</w:t>
                  </w:r>
                </w:p>
                <w:p>
                  <w:pPr>
                    <w:adjustRightInd w:val="0"/>
                    <w:snapToGrid w:val="0"/>
                    <w:jc w:val="center"/>
                    <w:rPr>
                      <w:rFonts w:hint="default" w:ascii="Times New Roman" w:hAnsi="Times New Roman" w:eastAsia="宋体" w:cs="Times New Roman"/>
                      <w:bCs/>
                      <w:color w:val="auto"/>
                      <w:spacing w:val="-10"/>
                      <w:sz w:val="21"/>
                      <w:szCs w:val="21"/>
                      <w:highlight w:val="none"/>
                    </w:rPr>
                  </w:pPr>
                  <w:r>
                    <w:rPr>
                      <w:rFonts w:hint="default" w:ascii="Times New Roman" w:hAnsi="Times New Roman" w:eastAsia="宋体" w:cs="Times New Roman"/>
                      <w:color w:val="auto"/>
                      <w:spacing w:val="-10"/>
                      <w:sz w:val="21"/>
                      <w:szCs w:val="21"/>
                      <w:highlight w:val="none"/>
                    </w:rPr>
                    <w:t>N：</w:t>
                  </w:r>
                  <w:r>
                    <w:rPr>
                      <w:rFonts w:hint="default" w:ascii="Times New Roman" w:hAnsi="Times New Roman" w:eastAsia="宋体" w:cs="Times New Roman"/>
                      <w:bCs/>
                      <w:color w:val="auto"/>
                      <w:spacing w:val="-10"/>
                      <w:sz w:val="21"/>
                      <w:szCs w:val="21"/>
                      <w:highlight w:val="none"/>
                    </w:rPr>
                    <w:t>31°31′2.86″</w:t>
                  </w:r>
                </w:p>
              </w:tc>
              <w:tc>
                <w:tcPr>
                  <w:tcW w:w="512" w:type="pc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0" w:hRule="atLeast"/>
              </w:trPr>
              <w:tc>
                <w:tcPr>
                  <w:tcW w:w="22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553"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9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239.</w:t>
                  </w:r>
                  <w:r>
                    <w:rPr>
                      <w:rFonts w:hint="eastAsia" w:cs="Times New Roman"/>
                      <w:i w:val="0"/>
                      <w:iCs w:val="0"/>
                      <w:color w:val="000000"/>
                      <w:kern w:val="0"/>
                      <w:sz w:val="21"/>
                      <w:szCs w:val="21"/>
                      <w:u w:val="none"/>
                      <w:lang w:val="en-US" w:eastAsia="zh-CN" w:bidi="ar"/>
                    </w:rPr>
                    <w:t>50</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7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0.15</w:t>
                  </w:r>
                  <w:r>
                    <w:rPr>
                      <w:rFonts w:hint="eastAsia" w:cs="Times New Roman"/>
                      <w:i w:val="0"/>
                      <w:iCs w:val="0"/>
                      <w:color w:val="000000"/>
                      <w:kern w:val="0"/>
                      <w:sz w:val="21"/>
                      <w:szCs w:val="21"/>
                      <w:u w:val="none"/>
                      <w:lang w:val="en-US" w:eastAsia="zh-CN" w:bidi="ar"/>
                    </w:rPr>
                    <w:t>40</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40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8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5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406"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157"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14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84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512" w:type="pc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0" w:hRule="atLeast"/>
              </w:trPr>
              <w:tc>
                <w:tcPr>
                  <w:tcW w:w="22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553"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sz w:val="21"/>
                      <w:szCs w:val="21"/>
                      <w:highlight w:val="none"/>
                    </w:rPr>
                  </w:pPr>
                  <w:r>
                    <w:rPr>
                      <w:rFonts w:hint="eastAsia" w:ascii="宋体" w:hAnsi="宋体" w:eastAsia="宋体" w:cs="宋体"/>
                      <w:i w:val="0"/>
                      <w:iCs w:val="0"/>
                      <w:color w:val="000000"/>
                      <w:kern w:val="0"/>
                      <w:sz w:val="21"/>
                      <w:szCs w:val="21"/>
                      <w:u w:val="none"/>
                      <w:lang w:val="en-US" w:eastAsia="zh-CN" w:bidi="ar"/>
                    </w:rPr>
                    <w:t>氨氮</w:t>
                  </w:r>
                </w:p>
              </w:tc>
              <w:tc>
                <w:tcPr>
                  <w:tcW w:w="9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39.81 </w:t>
                  </w:r>
                </w:p>
              </w:tc>
              <w:tc>
                <w:tcPr>
                  <w:tcW w:w="7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0.0256 </w:t>
                  </w:r>
                </w:p>
              </w:tc>
              <w:tc>
                <w:tcPr>
                  <w:tcW w:w="40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8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5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406"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157"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14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84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512" w:type="pc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0" w:hRule="atLeast"/>
              </w:trPr>
              <w:tc>
                <w:tcPr>
                  <w:tcW w:w="22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553"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sz w:val="21"/>
                      <w:szCs w:val="21"/>
                      <w:highlight w:val="none"/>
                    </w:rPr>
                  </w:pPr>
                  <w:r>
                    <w:rPr>
                      <w:rFonts w:hint="eastAsia" w:ascii="宋体" w:hAnsi="宋体" w:eastAsia="宋体" w:cs="宋体"/>
                      <w:i w:val="0"/>
                      <w:iCs w:val="0"/>
                      <w:color w:val="000000"/>
                      <w:kern w:val="0"/>
                      <w:sz w:val="21"/>
                      <w:szCs w:val="21"/>
                      <w:u w:val="none"/>
                      <w:lang w:val="en-US" w:eastAsia="zh-CN" w:bidi="ar"/>
                    </w:rPr>
                    <w:t>总磷</w:t>
                  </w:r>
                </w:p>
              </w:tc>
              <w:tc>
                <w:tcPr>
                  <w:tcW w:w="9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4.98 </w:t>
                  </w:r>
                </w:p>
              </w:tc>
              <w:tc>
                <w:tcPr>
                  <w:tcW w:w="7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0.0032 </w:t>
                  </w:r>
                </w:p>
              </w:tc>
              <w:tc>
                <w:tcPr>
                  <w:tcW w:w="40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8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5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406"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157"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14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84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512" w:type="pc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lang w:eastAsia="zh-CN"/>
                    </w:rPr>
                  </w:pPr>
                  <w:r>
                    <w:rPr>
                      <w:rFonts w:hint="default" w:ascii="Times New Roman" w:hAnsi="Times New Roman" w:eastAsia="宋体" w:cs="Times New Roman"/>
                      <w:color w:val="auto"/>
                      <w:spacing w:val="-10"/>
                      <w:sz w:val="21"/>
                      <w:szCs w:val="21"/>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0" w:hRule="atLeast"/>
              </w:trPr>
              <w:tc>
                <w:tcPr>
                  <w:tcW w:w="22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553"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sz w:val="21"/>
                      <w:szCs w:val="21"/>
                      <w:highlight w:val="none"/>
                    </w:rPr>
                  </w:pPr>
                  <w:r>
                    <w:rPr>
                      <w:rFonts w:hint="eastAsia" w:ascii="宋体" w:hAnsi="宋体" w:eastAsia="宋体" w:cs="宋体"/>
                      <w:i w:val="0"/>
                      <w:iCs w:val="0"/>
                      <w:color w:val="000000"/>
                      <w:kern w:val="0"/>
                      <w:sz w:val="21"/>
                      <w:szCs w:val="21"/>
                      <w:u w:val="none"/>
                      <w:lang w:val="en-US" w:eastAsia="zh-CN" w:bidi="ar"/>
                    </w:rPr>
                    <w:t>总氮</w:t>
                  </w:r>
                </w:p>
              </w:tc>
              <w:tc>
                <w:tcPr>
                  <w:tcW w:w="9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59.72 </w:t>
                  </w:r>
                </w:p>
              </w:tc>
              <w:tc>
                <w:tcPr>
                  <w:tcW w:w="7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0.0384 </w:t>
                  </w:r>
                </w:p>
              </w:tc>
              <w:tc>
                <w:tcPr>
                  <w:tcW w:w="40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8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5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406"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157"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14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84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512" w:type="pc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0" w:hRule="atLeast"/>
              </w:trPr>
              <w:tc>
                <w:tcPr>
                  <w:tcW w:w="22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553"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动植物油</w:t>
                  </w:r>
                </w:p>
              </w:tc>
              <w:tc>
                <w:tcPr>
                  <w:tcW w:w="9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39.81 </w:t>
                  </w:r>
                </w:p>
              </w:tc>
              <w:tc>
                <w:tcPr>
                  <w:tcW w:w="7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0.0256 </w:t>
                  </w:r>
                </w:p>
              </w:tc>
              <w:tc>
                <w:tcPr>
                  <w:tcW w:w="40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8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25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406"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157"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144"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845"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512" w:type="pc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100</w:t>
                  </w:r>
                </w:p>
              </w:tc>
            </w:tr>
          </w:tbl>
          <w:p>
            <w:pPr>
              <w:numPr>
                <w:ilvl w:val="0"/>
                <w:numId w:val="13"/>
              </w:numPr>
              <w:adjustRightInd w:val="0"/>
              <w:snapToGrid w:val="0"/>
              <w:spacing w:line="500" w:lineRule="exact"/>
              <w:ind w:left="1140" w:leftChars="0" w:firstLineChars="0"/>
              <w:jc w:val="both"/>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废水污染物自行监测计划</w:t>
            </w:r>
          </w:p>
          <w:p>
            <w:pPr>
              <w:pStyle w:val="18"/>
              <w:adjustRightInd w:val="0"/>
              <w:snapToGrid w:val="0"/>
              <w:spacing w:before="0" w:beforeAutospacing="0" w:after="0" w:afterAutospacing="0" w:line="500" w:lineRule="exact"/>
              <w:ind w:firstLine="480" w:firstLineChars="200"/>
              <w:jc w:val="both"/>
              <w:outlineLvl w:val="0"/>
              <w:rPr>
                <w:rFonts w:hint="default" w:ascii="Times New Roman" w:hAnsi="Times New Roman" w:eastAsia="宋体" w:cs="Times New Roman"/>
                <w:color w:val="auto"/>
                <w:kern w:val="2"/>
                <w:szCs w:val="24"/>
                <w:highlight w:val="none"/>
              </w:rPr>
            </w:pPr>
            <w:r>
              <w:rPr>
                <w:rFonts w:hint="default" w:ascii="Times New Roman" w:hAnsi="Times New Roman" w:eastAsia="宋体" w:cs="Times New Roman"/>
                <w:color w:val="auto"/>
                <w:kern w:val="2"/>
                <w:szCs w:val="24"/>
                <w:highlight w:val="none"/>
              </w:rPr>
              <w:t>根据</w:t>
            </w:r>
            <w:r>
              <w:rPr>
                <w:rFonts w:hint="default" w:ascii="Times New Roman" w:hAnsi="Times New Roman" w:eastAsia="宋体" w:cs="Times New Roman"/>
                <w:bCs/>
                <w:color w:val="auto"/>
                <w:spacing w:val="-10"/>
                <w:szCs w:val="21"/>
                <w:highlight w:val="none"/>
              </w:rPr>
              <w:t>《排污许可这申请与核发技术规范 汽车制造业》（HJ  971-2018）,建设单位污水接管口</w:t>
            </w:r>
            <w:r>
              <w:rPr>
                <w:rFonts w:hint="default" w:ascii="Times New Roman" w:hAnsi="Times New Roman" w:eastAsia="宋体" w:cs="Times New Roman"/>
                <w:color w:val="auto"/>
                <w:kern w:val="2"/>
                <w:szCs w:val="24"/>
                <w:highlight w:val="none"/>
              </w:rPr>
              <w:t>自行监测项目和监测内容见下表。</w:t>
            </w:r>
          </w:p>
          <w:p>
            <w:pPr>
              <w:adjustRightInd w:val="0"/>
              <w:snapToGrid w:val="0"/>
              <w:spacing w:line="500" w:lineRule="exact"/>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w:t>
            </w:r>
            <w:r>
              <w:rPr>
                <w:rFonts w:hint="default" w:ascii="Times New Roman" w:hAnsi="Times New Roman" w:eastAsia="宋体" w:cs="Times New Roman"/>
                <w:b/>
                <w:bCs/>
                <w:color w:val="auto"/>
                <w:spacing w:val="-10"/>
                <w:sz w:val="24"/>
                <w:szCs w:val="21"/>
                <w:highlight w:val="none"/>
              </w:rPr>
              <w:t>水污染物自行监测要求</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22"/>
              <w:gridCol w:w="356"/>
              <w:gridCol w:w="737"/>
              <w:gridCol w:w="458"/>
              <w:gridCol w:w="610"/>
              <w:gridCol w:w="645"/>
              <w:gridCol w:w="316"/>
              <w:gridCol w:w="545"/>
              <w:gridCol w:w="592"/>
              <w:gridCol w:w="640"/>
              <w:gridCol w:w="724"/>
              <w:gridCol w:w="784"/>
              <w:gridCol w:w="557"/>
              <w:gridCol w:w="1306"/>
              <w:gridCol w:w="3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48" w:hRule="atLeast"/>
                <w:tblHeader/>
                <w:jc w:val="center"/>
              </w:trPr>
              <w:tc>
                <w:tcPr>
                  <w:tcW w:w="126"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202"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污染源类别/监测类别</w:t>
                  </w:r>
                </w:p>
              </w:tc>
              <w:tc>
                <w:tcPr>
                  <w:tcW w:w="418"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排放口编号/监测点位</w:t>
                  </w:r>
                </w:p>
              </w:tc>
              <w:tc>
                <w:tcPr>
                  <w:tcW w:w="260"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排放口名称/监测点位名称</w:t>
                  </w:r>
                </w:p>
              </w:tc>
              <w:tc>
                <w:tcPr>
                  <w:tcW w:w="346"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监测内容（1）</w:t>
                  </w:r>
                </w:p>
              </w:tc>
              <w:tc>
                <w:tcPr>
                  <w:tcW w:w="366"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污染物名称</w:t>
                  </w:r>
                </w:p>
              </w:tc>
              <w:tc>
                <w:tcPr>
                  <w:tcW w:w="179"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监测设施</w:t>
                  </w:r>
                </w:p>
              </w:tc>
              <w:tc>
                <w:tcPr>
                  <w:tcW w:w="309"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自动监测是否联网</w:t>
                  </w:r>
                </w:p>
              </w:tc>
              <w:tc>
                <w:tcPr>
                  <w:tcW w:w="336"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自动监测仪器名称</w:t>
                  </w:r>
                </w:p>
              </w:tc>
              <w:tc>
                <w:tcPr>
                  <w:tcW w:w="363"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自动监测设施安装位置</w:t>
                  </w:r>
                </w:p>
              </w:tc>
              <w:tc>
                <w:tcPr>
                  <w:tcW w:w="411"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自动监测设施是否符合安装、运行、维护等管理要求</w:t>
                  </w:r>
                </w:p>
              </w:tc>
              <w:tc>
                <w:tcPr>
                  <w:tcW w:w="445"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手工监测采样方法及个数（2）</w:t>
                  </w:r>
                </w:p>
              </w:tc>
              <w:tc>
                <w:tcPr>
                  <w:tcW w:w="316"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手工监</w:t>
                  </w:r>
                </w:p>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测频次</w:t>
                  </w:r>
                </w:p>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（3）</w:t>
                  </w:r>
                </w:p>
              </w:tc>
              <w:tc>
                <w:tcPr>
                  <w:tcW w:w="741"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手工测定方法（4）</w:t>
                  </w:r>
                </w:p>
              </w:tc>
              <w:tc>
                <w:tcPr>
                  <w:tcW w:w="178" w:type="pct"/>
                  <w:noWrap w:val="0"/>
                  <w:vAlign w:val="center"/>
                </w:tcPr>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其他</w:t>
                  </w:r>
                </w:p>
                <w:p>
                  <w:pPr>
                    <w:pStyle w:val="54"/>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信息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48" w:hRule="atLeast"/>
                <w:tblHeader/>
                <w:jc w:val="center"/>
              </w:trPr>
              <w:tc>
                <w:tcPr>
                  <w:tcW w:w="126" w:type="pct"/>
                  <w:vMerge w:val="restar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02" w:type="pct"/>
                  <w:vMerge w:val="restar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418" w:type="pct"/>
                  <w:vMerge w:val="restar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WS-001</w:t>
                  </w:r>
                </w:p>
              </w:tc>
              <w:tc>
                <w:tcPr>
                  <w:tcW w:w="260" w:type="pct"/>
                  <w:vMerge w:val="restar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污水接管口</w:t>
                  </w:r>
                </w:p>
              </w:tc>
              <w:tc>
                <w:tcPr>
                  <w:tcW w:w="346" w:type="pct"/>
                  <w:vMerge w:val="restar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流量</w:t>
                  </w:r>
                </w:p>
              </w:tc>
              <w:tc>
                <w:tcPr>
                  <w:tcW w:w="36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流量</w:t>
                  </w:r>
                </w:p>
              </w:tc>
              <w:tc>
                <w:tcPr>
                  <w:tcW w:w="17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在线</w:t>
                  </w:r>
                </w:p>
              </w:tc>
              <w:tc>
                <w:tcPr>
                  <w:tcW w:w="30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w:t>
                  </w:r>
                </w:p>
              </w:tc>
              <w:tc>
                <w:tcPr>
                  <w:tcW w:w="33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63"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污水接管口</w:t>
                  </w:r>
                </w:p>
              </w:tc>
              <w:tc>
                <w:tcPr>
                  <w:tcW w:w="41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45"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1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4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78"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48" w:hRule="atLeast"/>
                <w:tblHeader/>
                <w:jc w:val="center"/>
              </w:trPr>
              <w:tc>
                <w:tcPr>
                  <w:tcW w:w="12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02"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418"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60"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4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6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pH</w:t>
                  </w:r>
                </w:p>
              </w:tc>
              <w:tc>
                <w:tcPr>
                  <w:tcW w:w="17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手工</w:t>
                  </w:r>
                </w:p>
              </w:tc>
              <w:tc>
                <w:tcPr>
                  <w:tcW w:w="30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3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63"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45"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非连续采样 至少3个</w:t>
                  </w:r>
                </w:p>
              </w:tc>
              <w:tc>
                <w:tcPr>
                  <w:tcW w:w="31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1次/季度年</w:t>
                  </w:r>
                </w:p>
              </w:tc>
              <w:tc>
                <w:tcPr>
                  <w:tcW w:w="74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水质 pH值的测定 玻璃电极法 GB 6920-1986</w:t>
                  </w:r>
                </w:p>
              </w:tc>
              <w:tc>
                <w:tcPr>
                  <w:tcW w:w="178"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48" w:hRule="atLeast"/>
                <w:tblHeader/>
                <w:jc w:val="center"/>
              </w:trPr>
              <w:tc>
                <w:tcPr>
                  <w:tcW w:w="12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02"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418"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60"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4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6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化学需氧量</w:t>
                  </w:r>
                </w:p>
              </w:tc>
              <w:tc>
                <w:tcPr>
                  <w:tcW w:w="17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手工</w:t>
                  </w:r>
                </w:p>
              </w:tc>
              <w:tc>
                <w:tcPr>
                  <w:tcW w:w="30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3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63"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45"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非连续采样 至少3个</w:t>
                  </w:r>
                </w:p>
              </w:tc>
              <w:tc>
                <w:tcPr>
                  <w:tcW w:w="31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1次/季度</w:t>
                  </w:r>
                </w:p>
              </w:tc>
              <w:tc>
                <w:tcPr>
                  <w:tcW w:w="74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水质 化学需氧量的测定 快速消解分光光度法 HJ/T 399-2007</w:t>
                  </w:r>
                </w:p>
              </w:tc>
              <w:tc>
                <w:tcPr>
                  <w:tcW w:w="178"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48" w:hRule="atLeast"/>
                <w:tblHeader/>
                <w:jc w:val="center"/>
              </w:trPr>
              <w:tc>
                <w:tcPr>
                  <w:tcW w:w="12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02"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418"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60"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4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6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悬浮物</w:t>
                  </w:r>
                </w:p>
              </w:tc>
              <w:tc>
                <w:tcPr>
                  <w:tcW w:w="17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手工</w:t>
                  </w:r>
                </w:p>
              </w:tc>
              <w:tc>
                <w:tcPr>
                  <w:tcW w:w="30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3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63"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45"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非连续采样 至少3个</w:t>
                  </w:r>
                </w:p>
              </w:tc>
              <w:tc>
                <w:tcPr>
                  <w:tcW w:w="31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1次/半年</w:t>
                  </w:r>
                </w:p>
              </w:tc>
              <w:tc>
                <w:tcPr>
                  <w:tcW w:w="74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水质 悬浮物的测定 重量法 GB 11901-1989</w:t>
                  </w:r>
                </w:p>
              </w:tc>
              <w:tc>
                <w:tcPr>
                  <w:tcW w:w="178"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48" w:hRule="atLeast"/>
                <w:tblHeader/>
                <w:jc w:val="center"/>
              </w:trPr>
              <w:tc>
                <w:tcPr>
                  <w:tcW w:w="12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02"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418"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60"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4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6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氨氮</w:t>
                  </w:r>
                </w:p>
              </w:tc>
              <w:tc>
                <w:tcPr>
                  <w:tcW w:w="17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手工</w:t>
                  </w:r>
                </w:p>
              </w:tc>
              <w:tc>
                <w:tcPr>
                  <w:tcW w:w="30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3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63"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45"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非连续采样 至少3个</w:t>
                  </w:r>
                </w:p>
              </w:tc>
              <w:tc>
                <w:tcPr>
                  <w:tcW w:w="31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1次/季度年</w:t>
                  </w:r>
                </w:p>
              </w:tc>
              <w:tc>
                <w:tcPr>
                  <w:tcW w:w="741" w:type="pct"/>
                  <w:noWrap w:val="0"/>
                  <w:vAlign w:val="center"/>
                </w:tcPr>
                <w:p>
                  <w:pPr>
                    <w:pStyle w:val="61"/>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水质 氨氮的测定 气相分子吸收光谱法 HJ/T 195-2005</w:t>
                  </w:r>
                </w:p>
              </w:tc>
              <w:tc>
                <w:tcPr>
                  <w:tcW w:w="178"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48" w:hRule="atLeast"/>
                <w:tblHeader/>
                <w:jc w:val="center"/>
              </w:trPr>
              <w:tc>
                <w:tcPr>
                  <w:tcW w:w="12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02"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418"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60"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4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6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总磷</w:t>
                  </w:r>
                </w:p>
              </w:tc>
              <w:tc>
                <w:tcPr>
                  <w:tcW w:w="17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手工</w:t>
                  </w:r>
                </w:p>
              </w:tc>
              <w:tc>
                <w:tcPr>
                  <w:tcW w:w="30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3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63"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45"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非连续采样 至少3个</w:t>
                  </w:r>
                </w:p>
              </w:tc>
              <w:tc>
                <w:tcPr>
                  <w:tcW w:w="31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1次/半年</w:t>
                  </w:r>
                </w:p>
              </w:tc>
              <w:tc>
                <w:tcPr>
                  <w:tcW w:w="741" w:type="pct"/>
                  <w:noWrap w:val="0"/>
                  <w:vAlign w:val="center"/>
                </w:tcPr>
                <w:p>
                  <w:pPr>
                    <w:pStyle w:val="61"/>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水质 总磷的测定 钼酸铵分光光度法 GB 11893-1989</w:t>
                  </w:r>
                </w:p>
              </w:tc>
              <w:tc>
                <w:tcPr>
                  <w:tcW w:w="178"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48" w:hRule="atLeast"/>
                <w:tblHeader/>
                <w:jc w:val="center"/>
              </w:trPr>
              <w:tc>
                <w:tcPr>
                  <w:tcW w:w="12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02"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418"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60"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4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6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总氮</w:t>
                  </w:r>
                </w:p>
              </w:tc>
              <w:tc>
                <w:tcPr>
                  <w:tcW w:w="17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手工</w:t>
                  </w:r>
                </w:p>
              </w:tc>
              <w:tc>
                <w:tcPr>
                  <w:tcW w:w="30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3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63"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45"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非连续采样 至少3个</w:t>
                  </w:r>
                </w:p>
              </w:tc>
              <w:tc>
                <w:tcPr>
                  <w:tcW w:w="31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1次/半年</w:t>
                  </w:r>
                </w:p>
              </w:tc>
              <w:tc>
                <w:tcPr>
                  <w:tcW w:w="74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水质 总氮的测定 气相分子吸收光谱法 HJ/T 199-2005</w:t>
                  </w:r>
                </w:p>
              </w:tc>
              <w:tc>
                <w:tcPr>
                  <w:tcW w:w="178"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48" w:hRule="atLeast"/>
                <w:tblHeader/>
                <w:jc w:val="center"/>
              </w:trPr>
              <w:tc>
                <w:tcPr>
                  <w:tcW w:w="12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02"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418"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260"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46" w:type="pct"/>
                  <w:vMerge w:val="continue"/>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p>
              </w:tc>
              <w:tc>
                <w:tcPr>
                  <w:tcW w:w="36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石油类/动植物油</w:t>
                  </w:r>
                </w:p>
              </w:tc>
              <w:tc>
                <w:tcPr>
                  <w:tcW w:w="17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手工</w:t>
                  </w:r>
                </w:p>
              </w:tc>
              <w:tc>
                <w:tcPr>
                  <w:tcW w:w="309"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3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63"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45"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非连续采样 至少3个</w:t>
                  </w:r>
                </w:p>
              </w:tc>
              <w:tc>
                <w:tcPr>
                  <w:tcW w:w="316"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1次/半年</w:t>
                  </w:r>
                </w:p>
              </w:tc>
              <w:tc>
                <w:tcPr>
                  <w:tcW w:w="741"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水质 石油类和动植物油类的测定 红外分光光度法HJ 637-2012代替GB/T 16488-1996</w:t>
                  </w:r>
                </w:p>
              </w:tc>
              <w:tc>
                <w:tcPr>
                  <w:tcW w:w="178" w:type="pct"/>
                  <w:noWrap w:val="0"/>
                  <w:vAlign w:val="center"/>
                </w:tcPr>
                <w:p>
                  <w:pPr>
                    <w:pStyle w:val="54"/>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bl>
          <w:p>
            <w:pPr>
              <w:adjustRightInd w:val="0"/>
              <w:snapToGrid w:val="0"/>
              <w:spacing w:line="500" w:lineRule="exact"/>
              <w:jc w:val="both"/>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3、噪声</w:t>
            </w:r>
          </w:p>
          <w:p>
            <w:pPr>
              <w:adjustRightInd w:val="0"/>
              <w:snapToGrid w:val="0"/>
              <w:spacing w:line="500" w:lineRule="exact"/>
              <w:ind w:firstLine="433" w:firstLineChars="196"/>
              <w:jc w:val="both"/>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（1）本项目噪声污染物产生及治理情况</w:t>
            </w:r>
          </w:p>
          <w:p>
            <w:pPr>
              <w:adjustRightInd w:val="0"/>
              <w:snapToGrid w:val="0"/>
              <w:spacing w:line="500" w:lineRule="exact"/>
              <w:ind w:firstLine="480" w:firstLineChars="200"/>
              <w:jc w:val="both"/>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本项目新增高噪声设备为</w:t>
            </w:r>
            <w:r>
              <w:rPr>
                <w:rFonts w:hint="eastAsia" w:cs="Times New Roman"/>
                <w:snapToGrid w:val="0"/>
                <w:color w:val="auto"/>
                <w:kern w:val="0"/>
                <w:sz w:val="24"/>
                <w:szCs w:val="24"/>
                <w:highlight w:val="none"/>
                <w:lang w:val="en-US" w:eastAsia="zh-CN"/>
              </w:rPr>
              <w:t>针点刺字机、中和清洗机、油雾旋风分离装置</w:t>
            </w:r>
            <w:r>
              <w:rPr>
                <w:rFonts w:hint="default" w:ascii="Times New Roman" w:hAnsi="Times New Roman" w:eastAsia="宋体" w:cs="Times New Roman"/>
                <w:snapToGrid w:val="0"/>
                <w:color w:val="auto"/>
                <w:kern w:val="0"/>
                <w:sz w:val="24"/>
                <w:szCs w:val="24"/>
                <w:highlight w:val="none"/>
              </w:rPr>
              <w:t>。</w:t>
            </w:r>
          </w:p>
          <w:p>
            <w:pPr>
              <w:adjustRightInd w:val="0"/>
              <w:snapToGrid w:val="0"/>
              <w:spacing w:line="500" w:lineRule="exact"/>
              <w:ind w:firstLine="480" w:firstLineChars="200"/>
              <w:jc w:val="both"/>
              <w:rPr>
                <w:rFonts w:hint="eastAsia" w:cs="Times New Roman"/>
                <w:snapToGrid w:val="0"/>
                <w:color w:val="auto"/>
                <w:kern w:val="0"/>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lang w:val="en-US" w:eastAsia="zh-CN"/>
              </w:rPr>
              <w:t>各设备噪声的情况</w:t>
            </w:r>
            <w:r>
              <w:rPr>
                <w:rFonts w:hint="eastAsia" w:cs="Times New Roman"/>
                <w:snapToGrid w:val="0"/>
                <w:color w:val="auto"/>
                <w:kern w:val="0"/>
                <w:sz w:val="24"/>
                <w:szCs w:val="24"/>
                <w:highlight w:val="none"/>
                <w:lang w:val="en-US" w:eastAsia="zh-CN"/>
              </w:rPr>
              <w:t>见下表4-4。</w:t>
            </w:r>
          </w:p>
          <w:p>
            <w:pPr>
              <w:pStyle w:val="53"/>
              <w:tabs>
                <w:tab w:val="left" w:pos="0"/>
              </w:tabs>
              <w:spacing w:line="500" w:lineRule="exact"/>
              <w:ind w:firstLine="0" w:firstLineChars="0"/>
              <w:jc w:val="center"/>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表4-</w:t>
            </w:r>
            <w:r>
              <w:rPr>
                <w:rFonts w:hint="eastAsia" w:ascii="Times New Roman" w:hAnsi="Times New Roman" w:cs="Times New Roman"/>
                <w:b/>
                <w:sz w:val="24"/>
                <w:lang w:val="en-US" w:eastAsia="zh-CN"/>
              </w:rPr>
              <w:t>4</w:t>
            </w:r>
            <w:r>
              <w:rPr>
                <w:rFonts w:hint="default" w:ascii="Times New Roman" w:hAnsi="Times New Roman" w:eastAsia="宋体" w:cs="Times New Roman"/>
                <w:b/>
                <w:sz w:val="24"/>
                <w:lang w:val="en-US" w:eastAsia="zh-CN"/>
              </w:rPr>
              <w:t xml:space="preserve"> </w:t>
            </w:r>
            <w:r>
              <w:rPr>
                <w:rFonts w:hint="default" w:ascii="Times New Roman" w:hAnsi="Times New Roman" w:eastAsia="宋体" w:cs="Times New Roman"/>
                <w:b/>
                <w:sz w:val="24"/>
              </w:rPr>
              <w:t>全厂主要设备噪声一览表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32"/>
              <w:gridCol w:w="1063"/>
              <w:gridCol w:w="755"/>
              <w:gridCol w:w="994"/>
              <w:gridCol w:w="896"/>
              <w:gridCol w:w="841"/>
              <w:gridCol w:w="1156"/>
              <w:gridCol w:w="1156"/>
              <w:gridCol w:w="11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blHeader/>
                <w:jc w:val="center"/>
              </w:trPr>
              <w:tc>
                <w:tcPr>
                  <w:tcW w:w="532" w:type="dxa"/>
                  <w:vMerge w:val="restart"/>
                  <w:noWrap w:val="0"/>
                  <w:vAlign w:val="center"/>
                </w:tcPr>
                <w:p>
                  <w:pPr>
                    <w:snapToGrid w:val="0"/>
                    <w:jc w:val="center"/>
                    <w:rPr>
                      <w:b/>
                      <w:bCs/>
                      <w:szCs w:val="21"/>
                    </w:rPr>
                  </w:pPr>
                  <w:r>
                    <w:rPr>
                      <w:b/>
                      <w:bCs/>
                      <w:szCs w:val="21"/>
                    </w:rPr>
                    <w:t>序号</w:t>
                  </w:r>
                </w:p>
              </w:tc>
              <w:tc>
                <w:tcPr>
                  <w:tcW w:w="1063" w:type="dxa"/>
                  <w:vMerge w:val="restart"/>
                  <w:noWrap w:val="0"/>
                  <w:tcMar>
                    <w:left w:w="0" w:type="dxa"/>
                    <w:right w:w="0" w:type="dxa"/>
                  </w:tcMar>
                  <w:vAlign w:val="center"/>
                </w:tcPr>
                <w:p>
                  <w:pPr>
                    <w:snapToGrid w:val="0"/>
                    <w:jc w:val="center"/>
                    <w:rPr>
                      <w:b/>
                      <w:bCs/>
                      <w:szCs w:val="21"/>
                    </w:rPr>
                  </w:pPr>
                  <w:r>
                    <w:rPr>
                      <w:b/>
                      <w:bCs/>
                      <w:szCs w:val="21"/>
                    </w:rPr>
                    <w:t>设备名称</w:t>
                  </w:r>
                </w:p>
              </w:tc>
              <w:tc>
                <w:tcPr>
                  <w:tcW w:w="755" w:type="dxa"/>
                  <w:vMerge w:val="restart"/>
                  <w:noWrap w:val="0"/>
                  <w:tcMar>
                    <w:left w:w="0" w:type="dxa"/>
                    <w:right w:w="0" w:type="dxa"/>
                  </w:tcMar>
                  <w:vAlign w:val="center"/>
                </w:tcPr>
                <w:p>
                  <w:pPr>
                    <w:snapToGrid w:val="0"/>
                    <w:jc w:val="center"/>
                    <w:rPr>
                      <w:b/>
                      <w:bCs/>
                      <w:szCs w:val="21"/>
                    </w:rPr>
                  </w:pPr>
                  <w:r>
                    <w:rPr>
                      <w:b/>
                      <w:bCs/>
                      <w:szCs w:val="21"/>
                    </w:rPr>
                    <w:t>数量</w:t>
                  </w:r>
                </w:p>
                <w:p>
                  <w:pPr>
                    <w:snapToGrid w:val="0"/>
                    <w:jc w:val="center"/>
                    <w:rPr>
                      <w:b/>
                      <w:bCs/>
                      <w:szCs w:val="21"/>
                    </w:rPr>
                  </w:pPr>
                  <w:r>
                    <w:rPr>
                      <w:b/>
                      <w:bCs/>
                      <w:szCs w:val="21"/>
                    </w:rPr>
                    <w:t>(台/套)</w:t>
                  </w:r>
                </w:p>
              </w:tc>
              <w:tc>
                <w:tcPr>
                  <w:tcW w:w="994" w:type="dxa"/>
                  <w:vMerge w:val="restart"/>
                  <w:noWrap w:val="0"/>
                  <w:tcMar>
                    <w:left w:w="0" w:type="dxa"/>
                    <w:right w:w="0" w:type="dxa"/>
                  </w:tcMar>
                  <w:vAlign w:val="center"/>
                </w:tcPr>
                <w:p>
                  <w:pPr>
                    <w:snapToGrid w:val="0"/>
                    <w:jc w:val="center"/>
                    <w:rPr>
                      <w:b/>
                      <w:bCs/>
                      <w:spacing w:val="-10"/>
                      <w:szCs w:val="21"/>
                    </w:rPr>
                  </w:pPr>
                  <w:r>
                    <w:rPr>
                      <w:b/>
                      <w:bCs/>
                      <w:spacing w:val="-10"/>
                      <w:szCs w:val="21"/>
                    </w:rPr>
                    <w:t>单台设备噪声dB(A)</w:t>
                  </w:r>
                </w:p>
              </w:tc>
              <w:tc>
                <w:tcPr>
                  <w:tcW w:w="896" w:type="dxa"/>
                  <w:vMerge w:val="restart"/>
                  <w:noWrap w:val="0"/>
                  <w:tcMar>
                    <w:left w:w="0" w:type="dxa"/>
                    <w:right w:w="0" w:type="dxa"/>
                  </w:tcMar>
                  <w:vAlign w:val="center"/>
                </w:tcPr>
                <w:p>
                  <w:pPr>
                    <w:snapToGrid w:val="0"/>
                    <w:jc w:val="center"/>
                    <w:rPr>
                      <w:b/>
                      <w:bCs/>
                      <w:szCs w:val="21"/>
                    </w:rPr>
                  </w:pPr>
                  <w:r>
                    <w:rPr>
                      <w:b/>
                      <w:bCs/>
                      <w:szCs w:val="21"/>
                    </w:rPr>
                    <w:t>等效声级</w:t>
                  </w:r>
                </w:p>
                <w:p>
                  <w:pPr>
                    <w:snapToGrid w:val="0"/>
                    <w:jc w:val="center"/>
                    <w:rPr>
                      <w:b/>
                      <w:bCs/>
                      <w:szCs w:val="21"/>
                    </w:rPr>
                  </w:pPr>
                  <w:r>
                    <w:rPr>
                      <w:b/>
                      <w:bCs/>
                      <w:spacing w:val="-10"/>
                      <w:szCs w:val="21"/>
                    </w:rPr>
                    <w:t>dB(A)</w:t>
                  </w:r>
                </w:p>
              </w:tc>
              <w:tc>
                <w:tcPr>
                  <w:tcW w:w="841" w:type="dxa"/>
                  <w:vMerge w:val="restart"/>
                  <w:noWrap w:val="0"/>
                  <w:tcMar>
                    <w:left w:w="0" w:type="dxa"/>
                    <w:right w:w="0" w:type="dxa"/>
                  </w:tcMar>
                  <w:vAlign w:val="center"/>
                </w:tcPr>
                <w:p>
                  <w:pPr>
                    <w:snapToGrid w:val="0"/>
                    <w:jc w:val="center"/>
                    <w:rPr>
                      <w:b/>
                      <w:bCs/>
                      <w:szCs w:val="21"/>
                    </w:rPr>
                  </w:pPr>
                  <w:r>
                    <w:rPr>
                      <w:b/>
                      <w:bCs/>
                      <w:szCs w:val="21"/>
                    </w:rPr>
                    <w:t>位置</w:t>
                  </w:r>
                </w:p>
              </w:tc>
              <w:tc>
                <w:tcPr>
                  <w:tcW w:w="3470" w:type="dxa"/>
                  <w:gridSpan w:val="3"/>
                  <w:noWrap w:val="0"/>
                  <w:tcMar>
                    <w:left w:w="0" w:type="dxa"/>
                    <w:right w:w="0" w:type="dxa"/>
                  </w:tcMar>
                  <w:vAlign w:val="center"/>
                </w:tcPr>
                <w:p>
                  <w:pPr>
                    <w:snapToGrid w:val="0"/>
                    <w:jc w:val="center"/>
                    <w:rPr>
                      <w:b/>
                      <w:bCs/>
                      <w:szCs w:val="21"/>
                    </w:rPr>
                  </w:pPr>
                  <w:r>
                    <w:rPr>
                      <w:b/>
                      <w:bCs/>
                      <w:szCs w:val="21"/>
                    </w:rPr>
                    <w:t>距厂界位置(m)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blHeader/>
                <w:jc w:val="center"/>
              </w:trPr>
              <w:tc>
                <w:tcPr>
                  <w:tcW w:w="532" w:type="dxa"/>
                  <w:vMerge w:val="continue"/>
                  <w:noWrap w:val="0"/>
                  <w:vAlign w:val="center"/>
                </w:tcPr>
                <w:p>
                  <w:pPr>
                    <w:snapToGrid w:val="0"/>
                    <w:jc w:val="center"/>
                    <w:rPr>
                      <w:b/>
                      <w:bCs/>
                      <w:szCs w:val="21"/>
                    </w:rPr>
                  </w:pPr>
                </w:p>
              </w:tc>
              <w:tc>
                <w:tcPr>
                  <w:tcW w:w="1063" w:type="dxa"/>
                  <w:vMerge w:val="continue"/>
                  <w:noWrap w:val="0"/>
                  <w:tcMar>
                    <w:left w:w="0" w:type="dxa"/>
                    <w:right w:w="0" w:type="dxa"/>
                  </w:tcMar>
                  <w:vAlign w:val="center"/>
                </w:tcPr>
                <w:p>
                  <w:pPr>
                    <w:snapToGrid w:val="0"/>
                    <w:jc w:val="center"/>
                    <w:rPr>
                      <w:b/>
                      <w:bCs/>
                      <w:szCs w:val="21"/>
                    </w:rPr>
                  </w:pPr>
                </w:p>
              </w:tc>
              <w:tc>
                <w:tcPr>
                  <w:tcW w:w="755" w:type="dxa"/>
                  <w:vMerge w:val="continue"/>
                  <w:noWrap w:val="0"/>
                  <w:tcMar>
                    <w:left w:w="0" w:type="dxa"/>
                    <w:right w:w="0" w:type="dxa"/>
                  </w:tcMar>
                  <w:vAlign w:val="center"/>
                </w:tcPr>
                <w:p>
                  <w:pPr>
                    <w:snapToGrid w:val="0"/>
                    <w:jc w:val="center"/>
                    <w:rPr>
                      <w:b/>
                      <w:bCs/>
                      <w:szCs w:val="21"/>
                    </w:rPr>
                  </w:pPr>
                </w:p>
              </w:tc>
              <w:tc>
                <w:tcPr>
                  <w:tcW w:w="994" w:type="dxa"/>
                  <w:vMerge w:val="continue"/>
                  <w:noWrap w:val="0"/>
                  <w:tcMar>
                    <w:left w:w="0" w:type="dxa"/>
                    <w:right w:w="0" w:type="dxa"/>
                  </w:tcMar>
                  <w:vAlign w:val="center"/>
                </w:tcPr>
                <w:p>
                  <w:pPr>
                    <w:snapToGrid w:val="0"/>
                    <w:jc w:val="center"/>
                    <w:rPr>
                      <w:b/>
                      <w:bCs/>
                      <w:spacing w:val="-10"/>
                      <w:szCs w:val="21"/>
                    </w:rPr>
                  </w:pPr>
                </w:p>
              </w:tc>
              <w:tc>
                <w:tcPr>
                  <w:tcW w:w="896" w:type="dxa"/>
                  <w:vMerge w:val="continue"/>
                  <w:noWrap w:val="0"/>
                  <w:tcMar>
                    <w:left w:w="0" w:type="dxa"/>
                    <w:right w:w="0" w:type="dxa"/>
                  </w:tcMar>
                  <w:vAlign w:val="center"/>
                </w:tcPr>
                <w:p>
                  <w:pPr>
                    <w:snapToGrid w:val="0"/>
                    <w:jc w:val="center"/>
                    <w:rPr>
                      <w:b/>
                      <w:bCs/>
                      <w:szCs w:val="21"/>
                    </w:rPr>
                  </w:pPr>
                </w:p>
              </w:tc>
              <w:tc>
                <w:tcPr>
                  <w:tcW w:w="841" w:type="dxa"/>
                  <w:vMerge w:val="continue"/>
                  <w:noWrap w:val="0"/>
                  <w:tcMar>
                    <w:left w:w="0" w:type="dxa"/>
                    <w:right w:w="0" w:type="dxa"/>
                  </w:tcMar>
                  <w:vAlign w:val="center"/>
                </w:tcPr>
                <w:p>
                  <w:pPr>
                    <w:snapToGrid w:val="0"/>
                    <w:jc w:val="center"/>
                    <w:rPr>
                      <w:b/>
                      <w:bCs/>
                      <w:szCs w:val="21"/>
                    </w:rPr>
                  </w:pPr>
                </w:p>
              </w:tc>
              <w:tc>
                <w:tcPr>
                  <w:tcW w:w="1156" w:type="dxa"/>
                  <w:noWrap w:val="0"/>
                  <w:tcMar>
                    <w:left w:w="0" w:type="dxa"/>
                    <w:right w:w="0" w:type="dxa"/>
                  </w:tcMar>
                  <w:vAlign w:val="center"/>
                </w:tcPr>
                <w:p>
                  <w:pPr>
                    <w:pStyle w:val="3"/>
                    <w:numPr>
                      <w:ilvl w:val="0"/>
                      <w:numId w:val="0"/>
                    </w:numPr>
                    <w:spacing w:line="240" w:lineRule="auto"/>
                    <w:ind w:left="0" w:leftChars="0" w:firstLine="0" w:firstLineChars="0"/>
                    <w:jc w:val="center"/>
                    <w:rPr>
                      <w:rFonts w:hint="default" w:eastAsia="宋体"/>
                      <w:b/>
                      <w:bCs/>
                      <w:szCs w:val="21"/>
                      <w:lang w:val="en-US" w:eastAsia="zh-CN"/>
                    </w:rPr>
                  </w:pPr>
                  <w:r>
                    <w:rPr>
                      <w:rFonts w:hint="eastAsia"/>
                      <w:b/>
                      <w:bCs/>
                      <w:color w:val="auto"/>
                      <w:vertAlign w:val="baseline"/>
                      <w:lang w:val="en-US" w:eastAsia="zh-CN"/>
                    </w:rPr>
                    <w:t>东北</w:t>
                  </w:r>
                  <w:r>
                    <w:rPr>
                      <w:rFonts w:hint="eastAsia"/>
                      <w:b/>
                      <w:bCs/>
                      <w:color w:val="auto"/>
                      <w:vertAlign w:val="baseline"/>
                      <w:lang w:val="en-US" w:eastAsia="zh-Hans"/>
                    </w:rPr>
                    <w:t>侧厂界</w:t>
                  </w:r>
                </w:p>
              </w:tc>
              <w:tc>
                <w:tcPr>
                  <w:tcW w:w="1156" w:type="dxa"/>
                  <w:noWrap w:val="0"/>
                  <w:vAlign w:val="center"/>
                </w:tcPr>
                <w:p>
                  <w:pPr>
                    <w:pStyle w:val="3"/>
                    <w:numPr>
                      <w:ilvl w:val="0"/>
                      <w:numId w:val="0"/>
                    </w:numPr>
                    <w:spacing w:line="240" w:lineRule="auto"/>
                    <w:ind w:left="0" w:leftChars="0" w:firstLine="0" w:firstLineChars="0"/>
                    <w:jc w:val="center"/>
                    <w:rPr>
                      <w:rFonts w:hint="default" w:eastAsia="宋体"/>
                      <w:b/>
                      <w:bCs/>
                      <w:szCs w:val="21"/>
                      <w:lang w:val="en-US" w:eastAsia="zh-CN"/>
                    </w:rPr>
                  </w:pPr>
                  <w:r>
                    <w:rPr>
                      <w:rFonts w:hint="eastAsia"/>
                      <w:b/>
                      <w:bCs/>
                      <w:color w:val="auto"/>
                      <w:vertAlign w:val="baseline"/>
                      <w:lang w:val="en-US" w:eastAsia="zh-Hans"/>
                    </w:rPr>
                    <w:t>西北侧厂界</w:t>
                  </w:r>
                </w:p>
              </w:tc>
              <w:tc>
                <w:tcPr>
                  <w:tcW w:w="1158" w:type="dxa"/>
                  <w:noWrap w:val="0"/>
                  <w:vAlign w:val="center"/>
                </w:tcPr>
                <w:p>
                  <w:pPr>
                    <w:pStyle w:val="3"/>
                    <w:numPr>
                      <w:ilvl w:val="0"/>
                      <w:numId w:val="0"/>
                    </w:numPr>
                    <w:spacing w:line="240" w:lineRule="auto"/>
                    <w:ind w:left="0" w:leftChars="0" w:firstLine="0" w:firstLineChars="0"/>
                    <w:jc w:val="center"/>
                    <w:rPr>
                      <w:b/>
                      <w:bCs/>
                      <w:szCs w:val="21"/>
                    </w:rPr>
                  </w:pPr>
                  <w:r>
                    <w:rPr>
                      <w:rFonts w:hint="eastAsia"/>
                      <w:b/>
                      <w:bCs/>
                      <w:color w:val="auto"/>
                      <w:vertAlign w:val="baseline"/>
                      <w:lang w:val="en-US" w:eastAsia="zh-CN"/>
                    </w:rPr>
                    <w:t>西南</w:t>
                  </w:r>
                  <w:r>
                    <w:rPr>
                      <w:rFonts w:hint="eastAsia"/>
                      <w:b/>
                      <w:bCs/>
                      <w:color w:val="auto"/>
                      <w:vertAlign w:val="baseline"/>
                      <w:lang w:val="en-US" w:eastAsia="zh-Hans"/>
                    </w:rPr>
                    <w:t>侧厂界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blHeader/>
                <w:jc w:val="center"/>
              </w:trPr>
              <w:tc>
                <w:tcPr>
                  <w:tcW w:w="532" w:type="dxa"/>
                  <w:noWrap w:val="0"/>
                  <w:vAlign w:val="center"/>
                </w:tcPr>
                <w:p>
                  <w:pPr>
                    <w:jc w:val="center"/>
                    <w:rPr>
                      <w:szCs w:val="21"/>
                    </w:rPr>
                  </w:pPr>
                  <w:r>
                    <w:rPr>
                      <w:szCs w:val="21"/>
                    </w:rPr>
                    <w:t>1</w:t>
                  </w:r>
                </w:p>
              </w:tc>
              <w:tc>
                <w:tcPr>
                  <w:tcW w:w="1063" w:type="dxa"/>
                  <w:noWrap w:val="0"/>
                  <w:tcMar>
                    <w:left w:w="0" w:type="dxa"/>
                    <w:right w:w="0" w:type="dxa"/>
                  </w:tcMar>
                  <w:vAlign w:val="center"/>
                </w:tcPr>
                <w:p>
                  <w:pPr>
                    <w:jc w:val="center"/>
                    <w:rPr>
                      <w:rFonts w:hint="default" w:eastAsia="宋体"/>
                      <w:szCs w:val="21"/>
                      <w:lang w:val="en-US" w:eastAsia="zh-CN"/>
                    </w:rPr>
                  </w:pPr>
                  <w:r>
                    <w:rPr>
                      <w:rFonts w:hint="eastAsia"/>
                      <w:szCs w:val="21"/>
                      <w:lang w:val="en-US" w:eastAsia="zh-CN"/>
                    </w:rPr>
                    <w:t>针点刺字机</w:t>
                  </w:r>
                </w:p>
              </w:tc>
              <w:tc>
                <w:tcPr>
                  <w:tcW w:w="755" w:type="dxa"/>
                  <w:noWrap w:val="0"/>
                  <w:tcMar>
                    <w:left w:w="0" w:type="dxa"/>
                    <w:right w:w="0" w:type="dxa"/>
                  </w:tcMar>
                  <w:vAlign w:val="center"/>
                </w:tcPr>
                <w:p>
                  <w:pPr>
                    <w:jc w:val="center"/>
                    <w:rPr>
                      <w:rFonts w:hint="eastAsia" w:eastAsia="宋体"/>
                      <w:szCs w:val="21"/>
                      <w:lang w:val="en-US" w:eastAsia="zh-CN"/>
                    </w:rPr>
                  </w:pPr>
                  <w:r>
                    <w:rPr>
                      <w:rFonts w:hint="eastAsia"/>
                      <w:szCs w:val="21"/>
                      <w:lang w:val="en-US" w:eastAsia="zh-CN"/>
                    </w:rPr>
                    <w:t>1</w:t>
                  </w:r>
                </w:p>
              </w:tc>
              <w:tc>
                <w:tcPr>
                  <w:tcW w:w="994" w:type="dxa"/>
                  <w:noWrap w:val="0"/>
                  <w:tcMar>
                    <w:left w:w="0" w:type="dxa"/>
                    <w:right w:w="0" w:type="dxa"/>
                  </w:tcMar>
                  <w:vAlign w:val="center"/>
                </w:tcPr>
                <w:p>
                  <w:pPr>
                    <w:jc w:val="center"/>
                    <w:rPr>
                      <w:rFonts w:hint="default" w:eastAsia="宋体"/>
                      <w:szCs w:val="21"/>
                      <w:lang w:val="en-US" w:eastAsia="zh-CN"/>
                    </w:rPr>
                  </w:pPr>
                  <w:r>
                    <w:rPr>
                      <w:rFonts w:hint="eastAsia"/>
                      <w:szCs w:val="21"/>
                      <w:lang w:val="en-US" w:eastAsia="zh-CN"/>
                    </w:rPr>
                    <w:t>75</w:t>
                  </w:r>
                </w:p>
              </w:tc>
              <w:tc>
                <w:tcPr>
                  <w:tcW w:w="896" w:type="dxa"/>
                  <w:noWrap w:val="0"/>
                  <w:tcMar>
                    <w:left w:w="0" w:type="dxa"/>
                    <w:right w:w="0" w:type="dxa"/>
                  </w:tcMar>
                  <w:vAlign w:val="center"/>
                </w:tcPr>
                <w:p>
                  <w:pPr>
                    <w:jc w:val="center"/>
                    <w:rPr>
                      <w:rFonts w:hint="default" w:eastAsia="宋体"/>
                      <w:szCs w:val="21"/>
                      <w:lang w:val="en-US" w:eastAsia="zh-CN"/>
                    </w:rPr>
                  </w:pPr>
                  <w:r>
                    <w:rPr>
                      <w:rFonts w:hint="eastAsia"/>
                      <w:szCs w:val="21"/>
                      <w:lang w:val="en-US" w:eastAsia="zh-CN"/>
                    </w:rPr>
                    <w:t>75</w:t>
                  </w:r>
                </w:p>
              </w:tc>
              <w:tc>
                <w:tcPr>
                  <w:tcW w:w="841" w:type="dxa"/>
                  <w:vMerge w:val="restart"/>
                  <w:noWrap w:val="0"/>
                  <w:tcMar>
                    <w:left w:w="0" w:type="dxa"/>
                    <w:right w:w="0" w:type="dxa"/>
                  </w:tcMar>
                  <w:vAlign w:val="center"/>
                </w:tcPr>
                <w:p>
                  <w:pPr>
                    <w:snapToGrid w:val="0"/>
                    <w:jc w:val="center"/>
                    <w:rPr>
                      <w:rFonts w:hint="default" w:eastAsia="宋体"/>
                      <w:szCs w:val="21"/>
                      <w:lang w:val="en-US" w:eastAsia="zh-CN"/>
                    </w:rPr>
                  </w:pPr>
                  <w:r>
                    <w:rPr>
                      <w:rFonts w:hint="eastAsia"/>
                      <w:szCs w:val="21"/>
                      <w:lang w:val="en-US" w:eastAsia="zh-CN"/>
                    </w:rPr>
                    <w:t>B302车间</w:t>
                  </w:r>
                </w:p>
              </w:tc>
              <w:tc>
                <w:tcPr>
                  <w:tcW w:w="1156" w:type="dxa"/>
                  <w:noWrap w:val="0"/>
                  <w:tcMar>
                    <w:left w:w="0" w:type="dxa"/>
                    <w:right w:w="0" w:type="dxa"/>
                  </w:tcMar>
                  <w:vAlign w:val="center"/>
                </w:tcPr>
                <w:p>
                  <w:pPr>
                    <w:snapToGrid w:val="0"/>
                    <w:jc w:val="center"/>
                    <w:rPr>
                      <w:rFonts w:hint="default" w:eastAsia="宋体"/>
                      <w:szCs w:val="21"/>
                      <w:lang w:val="en-US" w:eastAsia="zh-CN"/>
                    </w:rPr>
                  </w:pPr>
                  <w:r>
                    <w:rPr>
                      <w:rFonts w:hint="eastAsia"/>
                      <w:szCs w:val="21"/>
                      <w:lang w:val="en-US" w:eastAsia="zh-CN"/>
                    </w:rPr>
                    <w:t>63</w:t>
                  </w:r>
                </w:p>
              </w:tc>
              <w:tc>
                <w:tcPr>
                  <w:tcW w:w="1156" w:type="dxa"/>
                  <w:noWrap w:val="0"/>
                  <w:vAlign w:val="center"/>
                </w:tcPr>
                <w:p>
                  <w:pPr>
                    <w:snapToGrid w:val="0"/>
                    <w:jc w:val="center"/>
                    <w:rPr>
                      <w:rFonts w:hint="default" w:eastAsia="宋体"/>
                      <w:szCs w:val="21"/>
                      <w:lang w:val="en-US" w:eastAsia="zh-CN"/>
                    </w:rPr>
                  </w:pPr>
                  <w:r>
                    <w:rPr>
                      <w:rFonts w:hint="eastAsia"/>
                      <w:szCs w:val="21"/>
                      <w:lang w:val="en-US" w:eastAsia="zh-CN"/>
                    </w:rPr>
                    <w:t>54</w:t>
                  </w:r>
                </w:p>
              </w:tc>
              <w:tc>
                <w:tcPr>
                  <w:tcW w:w="1158" w:type="dxa"/>
                  <w:noWrap w:val="0"/>
                  <w:vAlign w:val="center"/>
                </w:tcPr>
                <w:p>
                  <w:pPr>
                    <w:snapToGrid w:val="0"/>
                    <w:jc w:val="center"/>
                    <w:rPr>
                      <w:rFonts w:hint="default" w:eastAsia="宋体"/>
                      <w:szCs w:val="21"/>
                      <w:lang w:val="en-US" w:eastAsia="zh-CN"/>
                    </w:rPr>
                  </w:pPr>
                  <w:r>
                    <w:rPr>
                      <w:rFonts w:hint="eastAsia"/>
                      <w:szCs w:val="21"/>
                      <w:lang w:val="en-US" w:eastAsia="zh-CN"/>
                    </w:rPr>
                    <w:t>432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blHeader/>
                <w:jc w:val="center"/>
              </w:trPr>
              <w:tc>
                <w:tcPr>
                  <w:tcW w:w="532" w:type="dxa"/>
                  <w:noWrap w:val="0"/>
                  <w:vAlign w:val="center"/>
                </w:tcPr>
                <w:p>
                  <w:pPr>
                    <w:jc w:val="center"/>
                    <w:rPr>
                      <w:szCs w:val="21"/>
                    </w:rPr>
                  </w:pPr>
                  <w:r>
                    <w:rPr>
                      <w:szCs w:val="21"/>
                    </w:rPr>
                    <w:t>2</w:t>
                  </w:r>
                </w:p>
              </w:tc>
              <w:tc>
                <w:tcPr>
                  <w:tcW w:w="1063" w:type="dxa"/>
                  <w:noWrap w:val="0"/>
                  <w:tcMar>
                    <w:left w:w="0" w:type="dxa"/>
                    <w:right w:w="0" w:type="dxa"/>
                  </w:tcMar>
                  <w:vAlign w:val="center"/>
                </w:tcPr>
                <w:p>
                  <w:pPr>
                    <w:jc w:val="center"/>
                    <w:rPr>
                      <w:rFonts w:hint="default" w:eastAsia="宋体"/>
                      <w:szCs w:val="21"/>
                      <w:lang w:val="en-US" w:eastAsia="zh-CN"/>
                    </w:rPr>
                  </w:pPr>
                  <w:r>
                    <w:rPr>
                      <w:rFonts w:hint="eastAsia"/>
                      <w:szCs w:val="21"/>
                      <w:lang w:val="en-US" w:eastAsia="zh-CN"/>
                    </w:rPr>
                    <w:t>中和清洗机</w:t>
                  </w:r>
                </w:p>
              </w:tc>
              <w:tc>
                <w:tcPr>
                  <w:tcW w:w="755" w:type="dxa"/>
                  <w:noWrap w:val="0"/>
                  <w:tcMar>
                    <w:left w:w="0" w:type="dxa"/>
                    <w:right w:w="0" w:type="dxa"/>
                  </w:tcMar>
                  <w:vAlign w:val="center"/>
                </w:tcPr>
                <w:p>
                  <w:pPr>
                    <w:jc w:val="center"/>
                    <w:rPr>
                      <w:rFonts w:hint="eastAsia" w:eastAsia="宋体"/>
                      <w:szCs w:val="21"/>
                      <w:lang w:val="en-US" w:eastAsia="zh-CN"/>
                    </w:rPr>
                  </w:pPr>
                  <w:r>
                    <w:rPr>
                      <w:rFonts w:hint="eastAsia"/>
                      <w:szCs w:val="21"/>
                      <w:lang w:val="en-US" w:eastAsia="zh-CN"/>
                    </w:rPr>
                    <w:t>1</w:t>
                  </w:r>
                </w:p>
              </w:tc>
              <w:tc>
                <w:tcPr>
                  <w:tcW w:w="994" w:type="dxa"/>
                  <w:noWrap w:val="0"/>
                  <w:tcMar>
                    <w:left w:w="0" w:type="dxa"/>
                    <w:right w:w="0" w:type="dxa"/>
                  </w:tcMar>
                  <w:vAlign w:val="center"/>
                </w:tcPr>
                <w:p>
                  <w:pPr>
                    <w:jc w:val="center"/>
                    <w:rPr>
                      <w:rFonts w:hint="default" w:eastAsia="宋体"/>
                      <w:szCs w:val="21"/>
                      <w:lang w:val="en-US" w:eastAsia="zh-CN"/>
                    </w:rPr>
                  </w:pPr>
                  <w:r>
                    <w:rPr>
                      <w:rFonts w:hint="eastAsia"/>
                      <w:szCs w:val="21"/>
                      <w:lang w:val="en-US" w:eastAsia="zh-CN"/>
                    </w:rPr>
                    <w:t>70</w:t>
                  </w:r>
                </w:p>
              </w:tc>
              <w:tc>
                <w:tcPr>
                  <w:tcW w:w="896" w:type="dxa"/>
                  <w:noWrap w:val="0"/>
                  <w:tcMar>
                    <w:left w:w="0" w:type="dxa"/>
                    <w:right w:w="0" w:type="dxa"/>
                  </w:tcMar>
                  <w:vAlign w:val="center"/>
                </w:tcPr>
                <w:p>
                  <w:pPr>
                    <w:jc w:val="center"/>
                    <w:rPr>
                      <w:rFonts w:hint="default" w:eastAsia="宋体"/>
                      <w:kern w:val="0"/>
                      <w:szCs w:val="21"/>
                      <w:lang w:val="en-US" w:eastAsia="zh-CN" w:bidi="ar"/>
                    </w:rPr>
                  </w:pPr>
                  <w:r>
                    <w:rPr>
                      <w:rFonts w:hint="eastAsia"/>
                      <w:szCs w:val="21"/>
                      <w:lang w:val="en-US" w:eastAsia="zh-CN"/>
                    </w:rPr>
                    <w:t>70</w:t>
                  </w:r>
                </w:p>
              </w:tc>
              <w:tc>
                <w:tcPr>
                  <w:tcW w:w="841" w:type="dxa"/>
                  <w:vMerge w:val="continue"/>
                  <w:noWrap w:val="0"/>
                  <w:tcMar>
                    <w:left w:w="0" w:type="dxa"/>
                    <w:right w:w="0" w:type="dxa"/>
                  </w:tcMar>
                  <w:vAlign w:val="center"/>
                </w:tcPr>
                <w:p>
                  <w:pPr>
                    <w:snapToGrid w:val="0"/>
                    <w:jc w:val="center"/>
                    <w:rPr>
                      <w:szCs w:val="21"/>
                    </w:rPr>
                  </w:pPr>
                </w:p>
              </w:tc>
              <w:tc>
                <w:tcPr>
                  <w:tcW w:w="1156" w:type="dxa"/>
                  <w:noWrap w:val="0"/>
                  <w:tcMar>
                    <w:left w:w="0" w:type="dxa"/>
                    <w:right w:w="0" w:type="dxa"/>
                  </w:tcMar>
                  <w:vAlign w:val="center"/>
                </w:tcPr>
                <w:p>
                  <w:pPr>
                    <w:snapToGrid w:val="0"/>
                    <w:jc w:val="center"/>
                    <w:rPr>
                      <w:rFonts w:hint="default" w:eastAsia="宋体"/>
                      <w:szCs w:val="21"/>
                      <w:lang w:val="en-US" w:eastAsia="zh-CN"/>
                    </w:rPr>
                  </w:pPr>
                  <w:r>
                    <w:rPr>
                      <w:rFonts w:hint="eastAsia"/>
                      <w:szCs w:val="21"/>
                      <w:lang w:val="en-US" w:eastAsia="zh-CN"/>
                    </w:rPr>
                    <w:t>60</w:t>
                  </w:r>
                </w:p>
              </w:tc>
              <w:tc>
                <w:tcPr>
                  <w:tcW w:w="1156" w:type="dxa"/>
                  <w:noWrap w:val="0"/>
                  <w:vAlign w:val="center"/>
                </w:tcPr>
                <w:p>
                  <w:pPr>
                    <w:snapToGrid w:val="0"/>
                    <w:jc w:val="center"/>
                    <w:rPr>
                      <w:rFonts w:hint="default" w:eastAsia="宋体"/>
                      <w:szCs w:val="21"/>
                      <w:lang w:val="en-US" w:eastAsia="zh-CN"/>
                    </w:rPr>
                  </w:pPr>
                  <w:r>
                    <w:rPr>
                      <w:rFonts w:hint="eastAsia"/>
                      <w:szCs w:val="21"/>
                      <w:lang w:val="en-US" w:eastAsia="zh-CN"/>
                    </w:rPr>
                    <w:t>55</w:t>
                  </w:r>
                </w:p>
              </w:tc>
              <w:tc>
                <w:tcPr>
                  <w:tcW w:w="1158" w:type="dxa"/>
                  <w:noWrap w:val="0"/>
                  <w:vAlign w:val="center"/>
                </w:tcPr>
                <w:p>
                  <w:pPr>
                    <w:snapToGrid w:val="0"/>
                    <w:jc w:val="center"/>
                    <w:rPr>
                      <w:rFonts w:hint="default" w:eastAsia="宋体"/>
                      <w:szCs w:val="21"/>
                      <w:lang w:val="en-US" w:eastAsia="zh-CN"/>
                    </w:rPr>
                  </w:pPr>
                  <w:r>
                    <w:rPr>
                      <w:rFonts w:hint="eastAsia"/>
                      <w:szCs w:val="21"/>
                      <w:lang w:val="en-US" w:eastAsia="zh-CN"/>
                    </w:rPr>
                    <w:t>430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blHeader/>
                <w:jc w:val="center"/>
              </w:trPr>
              <w:tc>
                <w:tcPr>
                  <w:tcW w:w="532" w:type="dxa"/>
                  <w:noWrap w:val="0"/>
                  <w:vAlign w:val="center"/>
                </w:tcPr>
                <w:p>
                  <w:pPr>
                    <w:jc w:val="center"/>
                    <w:rPr>
                      <w:rFonts w:hint="default" w:eastAsia="宋体"/>
                      <w:szCs w:val="21"/>
                      <w:lang w:val="en-US" w:eastAsia="zh-CN"/>
                    </w:rPr>
                  </w:pPr>
                  <w:r>
                    <w:rPr>
                      <w:rFonts w:hint="eastAsia"/>
                      <w:szCs w:val="21"/>
                      <w:lang w:val="en-US" w:eastAsia="zh-CN"/>
                    </w:rPr>
                    <w:t>3</w:t>
                  </w:r>
                </w:p>
              </w:tc>
              <w:tc>
                <w:tcPr>
                  <w:tcW w:w="1063" w:type="dxa"/>
                  <w:noWrap w:val="0"/>
                  <w:tcMar>
                    <w:left w:w="0" w:type="dxa"/>
                    <w:right w:w="0" w:type="dxa"/>
                  </w:tcMar>
                  <w:vAlign w:val="center"/>
                </w:tcPr>
                <w:p>
                  <w:pPr>
                    <w:jc w:val="center"/>
                    <w:rPr>
                      <w:rFonts w:hint="default"/>
                      <w:szCs w:val="21"/>
                      <w:lang w:val="en-US" w:eastAsia="zh-CN"/>
                    </w:rPr>
                  </w:pPr>
                  <w:r>
                    <w:rPr>
                      <w:rFonts w:hint="eastAsia"/>
                      <w:szCs w:val="21"/>
                      <w:lang w:val="en-US" w:eastAsia="zh-CN"/>
                    </w:rPr>
                    <w:t>油雾旋风分离装置</w:t>
                  </w:r>
                </w:p>
              </w:tc>
              <w:tc>
                <w:tcPr>
                  <w:tcW w:w="755" w:type="dxa"/>
                  <w:noWrap w:val="0"/>
                  <w:tcMar>
                    <w:left w:w="0" w:type="dxa"/>
                    <w:right w:w="0" w:type="dxa"/>
                  </w:tcMar>
                  <w:vAlign w:val="center"/>
                </w:tcPr>
                <w:p>
                  <w:pPr>
                    <w:jc w:val="center"/>
                    <w:rPr>
                      <w:rFonts w:hint="eastAsia" w:eastAsia="宋体"/>
                      <w:szCs w:val="21"/>
                      <w:lang w:val="en-US" w:eastAsia="zh-CN"/>
                    </w:rPr>
                  </w:pPr>
                  <w:r>
                    <w:rPr>
                      <w:rFonts w:hint="eastAsia"/>
                      <w:szCs w:val="21"/>
                      <w:lang w:val="en-US" w:eastAsia="zh-CN"/>
                    </w:rPr>
                    <w:t>1</w:t>
                  </w:r>
                </w:p>
              </w:tc>
              <w:tc>
                <w:tcPr>
                  <w:tcW w:w="994" w:type="dxa"/>
                  <w:noWrap w:val="0"/>
                  <w:tcMar>
                    <w:left w:w="0" w:type="dxa"/>
                    <w:right w:w="0" w:type="dxa"/>
                  </w:tcMar>
                  <w:vAlign w:val="center"/>
                </w:tcPr>
                <w:p>
                  <w:pPr>
                    <w:jc w:val="center"/>
                    <w:rPr>
                      <w:rFonts w:hint="default" w:eastAsia="宋体"/>
                      <w:szCs w:val="21"/>
                      <w:lang w:val="en-US" w:eastAsia="zh-CN"/>
                    </w:rPr>
                  </w:pPr>
                  <w:r>
                    <w:rPr>
                      <w:rFonts w:hint="eastAsia"/>
                      <w:szCs w:val="21"/>
                      <w:lang w:val="en-US" w:eastAsia="zh-CN"/>
                    </w:rPr>
                    <w:t>75</w:t>
                  </w:r>
                </w:p>
              </w:tc>
              <w:tc>
                <w:tcPr>
                  <w:tcW w:w="896" w:type="dxa"/>
                  <w:noWrap w:val="0"/>
                  <w:tcMar>
                    <w:left w:w="0" w:type="dxa"/>
                    <w:right w:w="0" w:type="dxa"/>
                  </w:tcMar>
                  <w:vAlign w:val="center"/>
                </w:tcPr>
                <w:p>
                  <w:pPr>
                    <w:jc w:val="center"/>
                    <w:rPr>
                      <w:rFonts w:hint="default" w:eastAsia="宋体"/>
                      <w:kern w:val="0"/>
                      <w:szCs w:val="21"/>
                      <w:lang w:val="en-US" w:eastAsia="zh-CN" w:bidi="ar"/>
                    </w:rPr>
                  </w:pPr>
                  <w:r>
                    <w:rPr>
                      <w:rFonts w:hint="eastAsia"/>
                      <w:szCs w:val="21"/>
                      <w:lang w:val="en-US" w:eastAsia="zh-CN"/>
                    </w:rPr>
                    <w:t>75</w:t>
                  </w:r>
                </w:p>
              </w:tc>
              <w:tc>
                <w:tcPr>
                  <w:tcW w:w="841" w:type="dxa"/>
                  <w:vMerge w:val="continue"/>
                  <w:noWrap w:val="0"/>
                  <w:tcMar>
                    <w:left w:w="0" w:type="dxa"/>
                    <w:right w:w="0" w:type="dxa"/>
                  </w:tcMar>
                  <w:vAlign w:val="center"/>
                </w:tcPr>
                <w:p>
                  <w:pPr>
                    <w:snapToGrid w:val="0"/>
                    <w:jc w:val="center"/>
                    <w:rPr>
                      <w:szCs w:val="21"/>
                    </w:rPr>
                  </w:pPr>
                </w:p>
              </w:tc>
              <w:tc>
                <w:tcPr>
                  <w:tcW w:w="1156" w:type="dxa"/>
                  <w:noWrap w:val="0"/>
                  <w:tcMar>
                    <w:left w:w="0" w:type="dxa"/>
                    <w:right w:w="0" w:type="dxa"/>
                  </w:tcMar>
                  <w:vAlign w:val="center"/>
                </w:tcPr>
                <w:p>
                  <w:pPr>
                    <w:snapToGrid w:val="0"/>
                    <w:jc w:val="center"/>
                    <w:rPr>
                      <w:rFonts w:hint="default" w:eastAsia="宋体"/>
                      <w:szCs w:val="21"/>
                      <w:lang w:val="en-US" w:eastAsia="zh-CN"/>
                    </w:rPr>
                  </w:pPr>
                  <w:r>
                    <w:rPr>
                      <w:rFonts w:hint="eastAsia"/>
                      <w:szCs w:val="21"/>
                      <w:lang w:val="en-US" w:eastAsia="zh-CN"/>
                    </w:rPr>
                    <w:t>60</w:t>
                  </w:r>
                </w:p>
              </w:tc>
              <w:tc>
                <w:tcPr>
                  <w:tcW w:w="1156" w:type="dxa"/>
                  <w:noWrap w:val="0"/>
                  <w:vAlign w:val="center"/>
                </w:tcPr>
                <w:p>
                  <w:pPr>
                    <w:snapToGrid w:val="0"/>
                    <w:jc w:val="center"/>
                    <w:rPr>
                      <w:rFonts w:hint="default" w:eastAsia="宋体"/>
                      <w:szCs w:val="21"/>
                      <w:lang w:val="en-US" w:eastAsia="zh-CN"/>
                    </w:rPr>
                  </w:pPr>
                  <w:r>
                    <w:rPr>
                      <w:rFonts w:hint="eastAsia"/>
                      <w:szCs w:val="21"/>
                      <w:lang w:val="en-US" w:eastAsia="zh-CN"/>
                    </w:rPr>
                    <w:t>52</w:t>
                  </w:r>
                </w:p>
              </w:tc>
              <w:tc>
                <w:tcPr>
                  <w:tcW w:w="1158" w:type="dxa"/>
                  <w:noWrap w:val="0"/>
                  <w:vAlign w:val="center"/>
                </w:tcPr>
                <w:p>
                  <w:pPr>
                    <w:snapToGrid w:val="0"/>
                    <w:jc w:val="center"/>
                    <w:rPr>
                      <w:rFonts w:hint="default" w:eastAsia="宋体"/>
                      <w:szCs w:val="21"/>
                      <w:lang w:val="en-US" w:eastAsia="zh-CN"/>
                    </w:rPr>
                  </w:pPr>
                  <w:r>
                    <w:rPr>
                      <w:rFonts w:hint="eastAsia"/>
                      <w:szCs w:val="21"/>
                      <w:lang w:val="en-US" w:eastAsia="zh-CN"/>
                    </w:rPr>
                    <w:t>425</w:t>
                  </w:r>
                </w:p>
              </w:tc>
            </w:tr>
          </w:tbl>
          <w:p>
            <w:pPr>
              <w:adjustRightInd w:val="0"/>
              <w:snapToGrid w:val="0"/>
              <w:spacing w:line="500" w:lineRule="exact"/>
              <w:ind w:firstLine="48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本项目噪声源经车间墙体隔声，门窗隔声后，设计降噪量为18dB。</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color w:val="auto"/>
                <w:sz w:val="24"/>
                <w:lang w:eastAsia="zh-Hans"/>
              </w:rPr>
            </w:pPr>
            <w:r>
              <w:rPr>
                <w:rFonts w:hint="eastAsia"/>
                <w:color w:val="auto"/>
                <w:sz w:val="24"/>
                <w:lang w:val="en-US" w:eastAsia="zh-Hans"/>
              </w:rPr>
              <w:t>根据</w:t>
            </w:r>
            <w:r>
              <w:rPr>
                <w:rFonts w:hint="eastAsia"/>
                <w:color w:val="auto"/>
                <w:sz w:val="24"/>
                <w:lang w:val="en-US" w:eastAsia="zh-CN"/>
              </w:rPr>
              <w:t>企业《共轨油嘴产能提升至2000万付项目》验收</w:t>
            </w:r>
            <w:r>
              <w:rPr>
                <w:rFonts w:hint="eastAsia"/>
                <w:color w:val="auto"/>
                <w:sz w:val="24"/>
                <w:lang w:val="en-US" w:eastAsia="zh-Hans"/>
              </w:rPr>
              <w:t>检测报告</w:t>
            </w:r>
            <w:r>
              <w:rPr>
                <w:rFonts w:hint="default"/>
                <w:color w:val="auto"/>
                <w:sz w:val="24"/>
                <w:lang w:eastAsia="zh-Hans"/>
              </w:rPr>
              <w:t>（</w:t>
            </w:r>
            <w:r>
              <w:rPr>
                <w:rFonts w:hint="eastAsia"/>
                <w:color w:val="auto"/>
                <w:sz w:val="24"/>
                <w:lang w:val="en-US" w:eastAsia="zh-Hans"/>
              </w:rPr>
              <w:t>报告编号</w:t>
            </w:r>
            <w:r>
              <w:rPr>
                <w:rFonts w:hint="default"/>
                <w:color w:val="auto"/>
                <w:sz w:val="24"/>
                <w:lang w:eastAsia="zh-Hans"/>
              </w:rPr>
              <w:t>：</w:t>
            </w:r>
            <w:r>
              <w:rPr>
                <w:rFonts w:hint="eastAsia"/>
                <w:color w:val="auto"/>
                <w:sz w:val="24"/>
                <w:lang w:val="en-US" w:eastAsia="zh-Hans"/>
              </w:rPr>
              <w:t>HJJC</w:t>
            </w:r>
            <w:r>
              <w:rPr>
                <w:rFonts w:hint="default"/>
                <w:color w:val="auto"/>
                <w:sz w:val="24"/>
                <w:lang w:eastAsia="zh-Hans"/>
              </w:rPr>
              <w:t>220281），2022</w:t>
            </w:r>
            <w:r>
              <w:rPr>
                <w:rFonts w:hint="eastAsia"/>
                <w:color w:val="auto"/>
                <w:sz w:val="24"/>
                <w:lang w:val="en-US" w:eastAsia="zh-Hans"/>
              </w:rPr>
              <w:t>年</w:t>
            </w:r>
            <w:r>
              <w:rPr>
                <w:rFonts w:hint="default"/>
                <w:color w:val="auto"/>
                <w:sz w:val="24"/>
                <w:lang w:eastAsia="zh-Hans"/>
              </w:rPr>
              <w:t>3</w:t>
            </w:r>
            <w:r>
              <w:rPr>
                <w:rFonts w:hint="eastAsia"/>
                <w:color w:val="auto"/>
                <w:sz w:val="24"/>
                <w:lang w:val="en-US" w:eastAsia="zh-Hans"/>
              </w:rPr>
              <w:t>月</w:t>
            </w:r>
            <w:r>
              <w:rPr>
                <w:rFonts w:hint="default"/>
                <w:color w:val="auto"/>
                <w:sz w:val="24"/>
                <w:lang w:eastAsia="zh-Hans"/>
              </w:rPr>
              <w:t>7</w:t>
            </w:r>
            <w:r>
              <w:rPr>
                <w:rFonts w:hint="eastAsia"/>
                <w:color w:val="auto"/>
                <w:sz w:val="24"/>
                <w:lang w:val="en-US" w:eastAsia="zh-Hans"/>
              </w:rPr>
              <w:t>日</w:t>
            </w:r>
            <w:r>
              <w:rPr>
                <w:rFonts w:hint="default"/>
                <w:color w:val="auto"/>
                <w:sz w:val="24"/>
                <w:lang w:eastAsia="zh-Hans"/>
              </w:rPr>
              <w:t>～3</w:t>
            </w:r>
            <w:r>
              <w:rPr>
                <w:rFonts w:hint="eastAsia"/>
                <w:color w:val="auto"/>
                <w:sz w:val="24"/>
                <w:lang w:val="en-US" w:eastAsia="zh-Hans"/>
              </w:rPr>
              <w:t>月</w:t>
            </w:r>
            <w:r>
              <w:rPr>
                <w:rFonts w:hint="default"/>
                <w:color w:val="auto"/>
                <w:sz w:val="24"/>
                <w:lang w:eastAsia="zh-Hans"/>
              </w:rPr>
              <w:t>8</w:t>
            </w:r>
            <w:r>
              <w:rPr>
                <w:rFonts w:hint="eastAsia"/>
                <w:color w:val="auto"/>
                <w:sz w:val="24"/>
                <w:lang w:val="en-US" w:eastAsia="zh-Hans"/>
              </w:rPr>
              <w:t>日期间</w:t>
            </w:r>
            <w:r>
              <w:rPr>
                <w:rFonts w:hint="default"/>
                <w:color w:val="auto"/>
                <w:sz w:val="24"/>
                <w:lang w:eastAsia="zh-Hans"/>
              </w:rPr>
              <w:t>，</w:t>
            </w:r>
            <w:r>
              <w:rPr>
                <w:rFonts w:hint="eastAsia"/>
                <w:color w:val="auto"/>
                <w:sz w:val="24"/>
                <w:lang w:val="en-US" w:eastAsia="zh-Hans"/>
              </w:rPr>
              <w:t>建设单位厂界噪声见下表</w:t>
            </w:r>
            <w:r>
              <w:rPr>
                <w:rFonts w:hint="default"/>
                <w:color w:val="auto"/>
                <w:sz w:val="24"/>
                <w:lang w:eastAsia="zh-Hans"/>
              </w:rPr>
              <w:t>。</w:t>
            </w:r>
          </w:p>
          <w:p>
            <w:pPr>
              <w:pStyle w:val="2"/>
              <w:keepNext w:val="0"/>
              <w:keepLines w:val="0"/>
              <w:pageBreakBefore w:val="0"/>
              <w:widowControl/>
              <w:kinsoku/>
              <w:wordWrap/>
              <w:overflowPunct/>
              <w:topLinePunct w:val="0"/>
              <w:autoSpaceDE/>
              <w:autoSpaceDN/>
              <w:bidi w:val="0"/>
              <w:adjustRightInd/>
              <w:snapToGrid w:val="0"/>
              <w:spacing w:before="0" w:after="0" w:line="500" w:lineRule="exact"/>
              <w:ind w:right="0"/>
              <w:jc w:val="center"/>
              <w:textAlignment w:val="auto"/>
              <w:rPr>
                <w:rFonts w:hint="eastAsia"/>
                <w:b/>
                <w:bCs/>
                <w:color w:val="auto"/>
                <w:sz w:val="24"/>
                <w:lang w:val="en-US" w:eastAsia="zh-Hans"/>
              </w:rPr>
            </w:pPr>
            <w:r>
              <w:rPr>
                <w:rFonts w:hint="eastAsia"/>
                <w:b/>
                <w:bCs/>
                <w:color w:val="auto"/>
                <w:sz w:val="24"/>
                <w:lang w:val="en-US" w:eastAsia="zh-Hans"/>
              </w:rPr>
              <w:t>表</w:t>
            </w:r>
            <w:r>
              <w:rPr>
                <w:rFonts w:hint="default"/>
                <w:b/>
                <w:bCs/>
                <w:color w:val="auto"/>
                <w:sz w:val="24"/>
                <w:lang w:eastAsia="zh-Hans"/>
              </w:rPr>
              <w:t>4-</w:t>
            </w:r>
            <w:r>
              <w:rPr>
                <w:rFonts w:hint="eastAsia"/>
                <w:b/>
                <w:bCs/>
                <w:color w:val="auto"/>
                <w:sz w:val="24"/>
                <w:lang w:val="en-US" w:eastAsia="zh-CN"/>
              </w:rPr>
              <w:t>5</w:t>
            </w:r>
            <w:r>
              <w:rPr>
                <w:rFonts w:hint="default"/>
                <w:b/>
                <w:bCs/>
                <w:color w:val="auto"/>
                <w:sz w:val="24"/>
                <w:lang w:eastAsia="zh-Hans"/>
              </w:rPr>
              <w:t xml:space="preserve"> </w:t>
            </w:r>
            <w:r>
              <w:rPr>
                <w:rFonts w:hint="eastAsia"/>
                <w:b/>
                <w:bCs/>
                <w:color w:val="auto"/>
                <w:sz w:val="24"/>
                <w:lang w:val="en-US" w:eastAsia="zh-Hans"/>
              </w:rPr>
              <w:t>企业厂界噪声检测数据汇总表</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068"/>
              <w:gridCol w:w="2136"/>
              <w:gridCol w:w="2135"/>
              <w:gridCol w:w="21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5" w:type="dxa"/>
                  <w:gridSpan w:val="2"/>
                  <w:vMerge w:val="restart"/>
                  <w:vAlign w:val="center"/>
                </w:tcPr>
                <w:p>
                  <w:pPr>
                    <w:pStyle w:val="3"/>
                    <w:numPr>
                      <w:ilvl w:val="0"/>
                      <w:numId w:val="0"/>
                    </w:numPr>
                    <w:spacing w:line="240" w:lineRule="auto"/>
                    <w:jc w:val="center"/>
                    <w:rPr>
                      <w:rFonts w:hint="default"/>
                      <w:b/>
                      <w:bCs/>
                      <w:color w:val="auto"/>
                      <w:vertAlign w:val="baseline"/>
                      <w:lang w:val="en-US" w:eastAsia="zh-Hans"/>
                    </w:rPr>
                  </w:pPr>
                  <w:r>
                    <w:rPr>
                      <w:rFonts w:hint="eastAsia"/>
                      <w:b/>
                      <w:bCs/>
                      <w:color w:val="auto"/>
                      <w:vertAlign w:val="baseline"/>
                      <w:lang w:val="en-US" w:eastAsia="zh-Hans"/>
                    </w:rPr>
                    <w:t>日期</w:t>
                  </w:r>
                </w:p>
              </w:tc>
              <w:tc>
                <w:tcPr>
                  <w:tcW w:w="6406" w:type="dxa"/>
                  <w:gridSpan w:val="3"/>
                  <w:vAlign w:val="center"/>
                </w:tcPr>
                <w:p>
                  <w:pPr>
                    <w:pStyle w:val="3"/>
                    <w:numPr>
                      <w:ilvl w:val="0"/>
                      <w:numId w:val="0"/>
                    </w:numPr>
                    <w:spacing w:line="240" w:lineRule="auto"/>
                    <w:jc w:val="center"/>
                    <w:rPr>
                      <w:rFonts w:hint="default"/>
                      <w:b/>
                      <w:bCs/>
                      <w:color w:val="auto"/>
                      <w:vertAlign w:val="baseline"/>
                      <w:lang w:val="en-US" w:eastAsia="zh-Hans"/>
                    </w:rPr>
                  </w:pPr>
                  <w:r>
                    <w:rPr>
                      <w:rFonts w:hint="eastAsia"/>
                      <w:b/>
                      <w:bCs/>
                      <w:color w:val="auto"/>
                      <w:vertAlign w:val="baseline"/>
                      <w:lang w:val="en-US" w:eastAsia="zh-Hans"/>
                    </w:rPr>
                    <w:t>检测数据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5" w:type="dxa"/>
                  <w:gridSpan w:val="2"/>
                  <w:vMerge w:val="continue"/>
                  <w:vAlign w:val="center"/>
                </w:tcPr>
                <w:p>
                  <w:pPr>
                    <w:pStyle w:val="3"/>
                    <w:numPr>
                      <w:ilvl w:val="0"/>
                      <w:numId w:val="0"/>
                    </w:numPr>
                    <w:spacing w:line="240" w:lineRule="auto"/>
                    <w:jc w:val="center"/>
                    <w:rPr>
                      <w:rFonts w:hint="default"/>
                      <w:b/>
                      <w:bCs/>
                      <w:color w:val="auto"/>
                      <w:vertAlign w:val="baseline"/>
                      <w:lang w:val="en-US" w:eastAsia="zh-Hans"/>
                    </w:rPr>
                  </w:pPr>
                </w:p>
              </w:tc>
              <w:tc>
                <w:tcPr>
                  <w:tcW w:w="2136" w:type="dxa"/>
                  <w:vAlign w:val="center"/>
                </w:tcPr>
                <w:p>
                  <w:pPr>
                    <w:pStyle w:val="3"/>
                    <w:numPr>
                      <w:ilvl w:val="0"/>
                      <w:numId w:val="0"/>
                    </w:numPr>
                    <w:spacing w:line="240" w:lineRule="auto"/>
                    <w:jc w:val="center"/>
                    <w:rPr>
                      <w:rFonts w:hint="default"/>
                      <w:b/>
                      <w:bCs/>
                      <w:color w:val="auto"/>
                      <w:vertAlign w:val="baseline"/>
                      <w:lang w:val="en-US" w:eastAsia="zh-Hans"/>
                    </w:rPr>
                  </w:pPr>
                  <w:r>
                    <w:rPr>
                      <w:rFonts w:hint="eastAsia"/>
                      <w:b/>
                      <w:bCs/>
                      <w:color w:val="auto"/>
                      <w:vertAlign w:val="baseline"/>
                      <w:lang w:val="en-US" w:eastAsia="zh-CN"/>
                    </w:rPr>
                    <w:t>东北</w:t>
                  </w:r>
                  <w:r>
                    <w:rPr>
                      <w:rFonts w:hint="eastAsia"/>
                      <w:b/>
                      <w:bCs/>
                      <w:color w:val="auto"/>
                      <w:vertAlign w:val="baseline"/>
                      <w:lang w:val="en-US" w:eastAsia="zh-Hans"/>
                    </w:rPr>
                    <w:t>侧厂界</w:t>
                  </w:r>
                </w:p>
              </w:tc>
              <w:tc>
                <w:tcPr>
                  <w:tcW w:w="2135" w:type="dxa"/>
                  <w:vAlign w:val="center"/>
                </w:tcPr>
                <w:p>
                  <w:pPr>
                    <w:pStyle w:val="3"/>
                    <w:numPr>
                      <w:ilvl w:val="0"/>
                      <w:numId w:val="0"/>
                    </w:numPr>
                    <w:spacing w:line="240" w:lineRule="auto"/>
                    <w:jc w:val="center"/>
                    <w:rPr>
                      <w:rFonts w:hint="default"/>
                      <w:b/>
                      <w:bCs/>
                      <w:color w:val="auto"/>
                      <w:vertAlign w:val="baseline"/>
                      <w:lang w:val="en-US" w:eastAsia="zh-Hans"/>
                    </w:rPr>
                  </w:pPr>
                  <w:r>
                    <w:rPr>
                      <w:rFonts w:hint="eastAsia"/>
                      <w:b/>
                      <w:bCs/>
                      <w:color w:val="auto"/>
                      <w:vertAlign w:val="baseline"/>
                      <w:lang w:val="en-US" w:eastAsia="zh-Hans"/>
                    </w:rPr>
                    <w:t>西北侧厂界</w:t>
                  </w:r>
                </w:p>
              </w:tc>
              <w:tc>
                <w:tcPr>
                  <w:tcW w:w="2135" w:type="dxa"/>
                  <w:vAlign w:val="center"/>
                </w:tcPr>
                <w:p>
                  <w:pPr>
                    <w:pStyle w:val="3"/>
                    <w:numPr>
                      <w:ilvl w:val="0"/>
                      <w:numId w:val="0"/>
                    </w:numPr>
                    <w:spacing w:line="240" w:lineRule="auto"/>
                    <w:jc w:val="center"/>
                    <w:rPr>
                      <w:rFonts w:hint="default"/>
                      <w:b/>
                      <w:bCs/>
                      <w:color w:val="auto"/>
                      <w:vertAlign w:val="baseline"/>
                      <w:lang w:val="en-US" w:eastAsia="zh-Hans"/>
                    </w:rPr>
                  </w:pPr>
                  <w:r>
                    <w:rPr>
                      <w:rFonts w:hint="eastAsia"/>
                      <w:b/>
                      <w:bCs/>
                      <w:color w:val="auto"/>
                      <w:vertAlign w:val="baseline"/>
                      <w:lang w:val="en-US" w:eastAsia="zh-CN"/>
                    </w:rPr>
                    <w:t>西南</w:t>
                  </w:r>
                  <w:r>
                    <w:rPr>
                      <w:rFonts w:hint="eastAsia"/>
                      <w:b/>
                      <w:bCs/>
                      <w:color w:val="auto"/>
                      <w:vertAlign w:val="baseline"/>
                      <w:lang w:val="en-US" w:eastAsia="zh-Hans"/>
                    </w:rPr>
                    <w:t>侧厂界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7" w:type="dxa"/>
                  <w:vMerge w:val="restart"/>
                  <w:vAlign w:val="center"/>
                </w:tcPr>
                <w:p>
                  <w:pPr>
                    <w:pStyle w:val="3"/>
                    <w:numPr>
                      <w:ilvl w:val="0"/>
                      <w:numId w:val="0"/>
                    </w:numPr>
                    <w:spacing w:line="240" w:lineRule="auto"/>
                    <w:jc w:val="center"/>
                    <w:rPr>
                      <w:rFonts w:hint="default"/>
                      <w:color w:val="auto"/>
                      <w:vertAlign w:val="baseline"/>
                      <w:lang w:val="en-US" w:eastAsia="zh-Hans"/>
                    </w:rPr>
                  </w:pPr>
                  <w:r>
                    <w:rPr>
                      <w:rFonts w:hint="default"/>
                      <w:color w:val="auto"/>
                      <w:vertAlign w:val="baseline"/>
                      <w:lang w:eastAsia="zh-Hans"/>
                    </w:rPr>
                    <w:t>3</w:t>
                  </w:r>
                  <w:r>
                    <w:rPr>
                      <w:rFonts w:hint="eastAsia"/>
                      <w:color w:val="auto"/>
                      <w:vertAlign w:val="baseline"/>
                      <w:lang w:val="en-US" w:eastAsia="zh-Hans"/>
                    </w:rPr>
                    <w:t>月</w:t>
                  </w:r>
                  <w:r>
                    <w:rPr>
                      <w:rFonts w:hint="default"/>
                      <w:color w:val="auto"/>
                      <w:vertAlign w:val="baseline"/>
                      <w:lang w:eastAsia="zh-Hans"/>
                    </w:rPr>
                    <w:t>7</w:t>
                  </w:r>
                  <w:r>
                    <w:rPr>
                      <w:rFonts w:hint="eastAsia"/>
                      <w:color w:val="auto"/>
                      <w:vertAlign w:val="baseline"/>
                      <w:lang w:val="en-US" w:eastAsia="zh-Hans"/>
                    </w:rPr>
                    <w:t>日</w:t>
                  </w:r>
                </w:p>
              </w:tc>
              <w:tc>
                <w:tcPr>
                  <w:tcW w:w="1068" w:type="dxa"/>
                  <w:vAlign w:val="center"/>
                </w:tcPr>
                <w:p>
                  <w:pPr>
                    <w:pStyle w:val="3"/>
                    <w:numPr>
                      <w:ilvl w:val="0"/>
                      <w:numId w:val="0"/>
                    </w:numPr>
                    <w:spacing w:line="240" w:lineRule="auto"/>
                    <w:jc w:val="center"/>
                    <w:rPr>
                      <w:rFonts w:hint="default"/>
                      <w:color w:val="auto"/>
                      <w:vertAlign w:val="baseline"/>
                      <w:lang w:val="en-US" w:eastAsia="zh-Hans"/>
                    </w:rPr>
                  </w:pPr>
                  <w:r>
                    <w:rPr>
                      <w:rFonts w:hint="eastAsia"/>
                      <w:color w:val="auto"/>
                      <w:vertAlign w:val="baseline"/>
                      <w:lang w:val="en-US" w:eastAsia="zh-Hans"/>
                    </w:rPr>
                    <w:t>昼间</w:t>
                  </w:r>
                </w:p>
              </w:tc>
              <w:tc>
                <w:tcPr>
                  <w:tcW w:w="2136" w:type="dxa"/>
                  <w:vAlign w:val="center"/>
                </w:tcPr>
                <w:p>
                  <w:pPr>
                    <w:pStyle w:val="3"/>
                    <w:numPr>
                      <w:ilvl w:val="0"/>
                      <w:numId w:val="0"/>
                    </w:numPr>
                    <w:spacing w:line="240" w:lineRule="auto"/>
                    <w:ind w:left="0" w:leftChars="0" w:firstLine="0" w:firstLineChars="0"/>
                    <w:jc w:val="center"/>
                    <w:rPr>
                      <w:rFonts w:hint="default"/>
                      <w:color w:val="auto"/>
                      <w:vertAlign w:val="baseline"/>
                      <w:lang w:eastAsia="zh-Hans"/>
                    </w:rPr>
                  </w:pPr>
                  <w:r>
                    <w:rPr>
                      <w:rFonts w:hint="default"/>
                      <w:color w:val="auto"/>
                      <w:vertAlign w:val="baseline"/>
                      <w:lang w:eastAsia="zh-Hans"/>
                    </w:rPr>
                    <w:t>61</w:t>
                  </w:r>
                </w:p>
              </w:tc>
              <w:tc>
                <w:tcPr>
                  <w:tcW w:w="2135" w:type="dxa"/>
                  <w:vAlign w:val="center"/>
                </w:tcPr>
                <w:p>
                  <w:pPr>
                    <w:pStyle w:val="3"/>
                    <w:numPr>
                      <w:ilvl w:val="0"/>
                      <w:numId w:val="0"/>
                    </w:numPr>
                    <w:spacing w:line="240" w:lineRule="auto"/>
                    <w:jc w:val="center"/>
                    <w:rPr>
                      <w:rFonts w:hint="default"/>
                      <w:color w:val="auto"/>
                      <w:vertAlign w:val="baseline"/>
                      <w:lang w:eastAsia="zh-Hans"/>
                    </w:rPr>
                  </w:pPr>
                  <w:r>
                    <w:rPr>
                      <w:rFonts w:hint="default"/>
                      <w:color w:val="auto"/>
                      <w:vertAlign w:val="baseline"/>
                      <w:lang w:eastAsia="zh-Hans"/>
                    </w:rPr>
                    <w:t>60</w:t>
                  </w:r>
                </w:p>
              </w:tc>
              <w:tc>
                <w:tcPr>
                  <w:tcW w:w="2135" w:type="dxa"/>
                  <w:vAlign w:val="bottom"/>
                </w:tcPr>
                <w:p>
                  <w:pPr>
                    <w:keepNext w:val="0"/>
                    <w:keepLines w:val="0"/>
                    <w:widowControl/>
                    <w:suppressLineNumbers w:val="0"/>
                    <w:jc w:val="center"/>
                    <w:textAlignment w:val="bottom"/>
                    <w:rPr>
                      <w:rFonts w:hint="default"/>
                      <w:color w:val="auto"/>
                      <w:vertAlign w:val="baseline"/>
                      <w:lang w:eastAsia="zh-Hans"/>
                    </w:rPr>
                  </w:pPr>
                  <w:r>
                    <w:rPr>
                      <w:rFonts w:hint="default" w:ascii="Times New Roman" w:hAnsi="Times New Roman" w:eastAsia="宋体" w:cs="Times New Roman"/>
                      <w:i w:val="0"/>
                      <w:iCs w:val="0"/>
                      <w:color w:val="000000"/>
                      <w:kern w:val="0"/>
                      <w:sz w:val="21"/>
                      <w:szCs w:val="21"/>
                      <w:u w:val="none"/>
                      <w:lang w:val="en-US" w:eastAsia="zh-CN" w:bidi="ar"/>
                    </w:rPr>
                    <w:t>59.7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7" w:type="dxa"/>
                  <w:vMerge w:val="continue"/>
                  <w:vAlign w:val="center"/>
                </w:tcPr>
                <w:p>
                  <w:pPr>
                    <w:pStyle w:val="3"/>
                    <w:numPr>
                      <w:ilvl w:val="0"/>
                      <w:numId w:val="0"/>
                    </w:numPr>
                    <w:spacing w:line="240" w:lineRule="auto"/>
                    <w:jc w:val="center"/>
                    <w:rPr>
                      <w:rFonts w:hint="default"/>
                      <w:color w:val="auto"/>
                      <w:vertAlign w:val="baseline"/>
                      <w:lang w:eastAsia="zh-Hans"/>
                    </w:rPr>
                  </w:pPr>
                </w:p>
              </w:tc>
              <w:tc>
                <w:tcPr>
                  <w:tcW w:w="1068" w:type="dxa"/>
                  <w:vAlign w:val="center"/>
                </w:tcPr>
                <w:p>
                  <w:pPr>
                    <w:pStyle w:val="3"/>
                    <w:numPr>
                      <w:ilvl w:val="0"/>
                      <w:numId w:val="0"/>
                    </w:numPr>
                    <w:spacing w:line="240" w:lineRule="auto"/>
                    <w:jc w:val="center"/>
                    <w:rPr>
                      <w:rFonts w:hint="default"/>
                      <w:color w:val="auto"/>
                      <w:vertAlign w:val="baseline"/>
                      <w:lang w:val="en-US" w:eastAsia="zh-Hans"/>
                    </w:rPr>
                  </w:pPr>
                  <w:r>
                    <w:rPr>
                      <w:rFonts w:hint="eastAsia"/>
                      <w:color w:val="auto"/>
                      <w:vertAlign w:val="baseline"/>
                      <w:lang w:val="en-US" w:eastAsia="zh-Hans"/>
                    </w:rPr>
                    <w:t>夜间</w:t>
                  </w:r>
                </w:p>
              </w:tc>
              <w:tc>
                <w:tcPr>
                  <w:tcW w:w="2136" w:type="dxa"/>
                  <w:vAlign w:val="center"/>
                </w:tcPr>
                <w:p>
                  <w:pPr>
                    <w:pStyle w:val="3"/>
                    <w:numPr>
                      <w:ilvl w:val="0"/>
                      <w:numId w:val="0"/>
                    </w:numPr>
                    <w:spacing w:line="240" w:lineRule="auto"/>
                    <w:ind w:left="0" w:leftChars="0" w:firstLine="0" w:firstLineChars="0"/>
                    <w:jc w:val="center"/>
                    <w:rPr>
                      <w:rFonts w:hint="default"/>
                      <w:color w:val="auto"/>
                      <w:vertAlign w:val="baseline"/>
                      <w:lang w:eastAsia="zh-Hans"/>
                    </w:rPr>
                  </w:pPr>
                  <w:r>
                    <w:rPr>
                      <w:rFonts w:hint="default"/>
                      <w:color w:val="auto"/>
                      <w:vertAlign w:val="baseline"/>
                      <w:lang w:eastAsia="zh-Hans"/>
                    </w:rPr>
                    <w:t>51</w:t>
                  </w:r>
                </w:p>
              </w:tc>
              <w:tc>
                <w:tcPr>
                  <w:tcW w:w="2135" w:type="dxa"/>
                  <w:vAlign w:val="center"/>
                </w:tcPr>
                <w:p>
                  <w:pPr>
                    <w:pStyle w:val="3"/>
                    <w:numPr>
                      <w:ilvl w:val="0"/>
                      <w:numId w:val="0"/>
                    </w:numPr>
                    <w:spacing w:line="240" w:lineRule="auto"/>
                    <w:jc w:val="center"/>
                    <w:rPr>
                      <w:rFonts w:hint="default"/>
                      <w:color w:val="auto"/>
                      <w:vertAlign w:val="baseline"/>
                      <w:lang w:eastAsia="zh-Hans"/>
                    </w:rPr>
                  </w:pPr>
                  <w:r>
                    <w:rPr>
                      <w:rFonts w:hint="default"/>
                      <w:color w:val="auto"/>
                      <w:vertAlign w:val="baseline"/>
                      <w:lang w:eastAsia="zh-Hans"/>
                    </w:rPr>
                    <w:t>51</w:t>
                  </w:r>
                </w:p>
              </w:tc>
              <w:tc>
                <w:tcPr>
                  <w:tcW w:w="2135" w:type="dxa"/>
                  <w:vAlign w:val="bottom"/>
                </w:tcPr>
                <w:p>
                  <w:pPr>
                    <w:keepNext w:val="0"/>
                    <w:keepLines w:val="0"/>
                    <w:widowControl/>
                    <w:suppressLineNumbers w:val="0"/>
                    <w:jc w:val="center"/>
                    <w:textAlignment w:val="bottom"/>
                    <w:rPr>
                      <w:rFonts w:hint="default"/>
                      <w:color w:val="auto"/>
                      <w:vertAlign w:val="baseline"/>
                      <w:lang w:eastAsia="zh-Hans"/>
                    </w:rPr>
                  </w:pPr>
                  <w:r>
                    <w:rPr>
                      <w:rFonts w:hint="default" w:ascii="Times New Roman" w:hAnsi="Times New Roman" w:eastAsia="宋体" w:cs="Times New Roman"/>
                      <w:i w:val="0"/>
                      <w:iCs w:val="0"/>
                      <w:color w:val="000000"/>
                      <w:kern w:val="0"/>
                      <w:sz w:val="21"/>
                      <w:szCs w:val="21"/>
                      <w:u w:val="none"/>
                      <w:lang w:val="en-US" w:eastAsia="zh-CN" w:bidi="ar"/>
                    </w:rPr>
                    <w:t>50.7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67" w:type="dxa"/>
                  <w:vMerge w:val="restart"/>
                  <w:vAlign w:val="center"/>
                </w:tcPr>
                <w:p>
                  <w:pPr>
                    <w:pStyle w:val="3"/>
                    <w:numPr>
                      <w:ilvl w:val="0"/>
                      <w:numId w:val="0"/>
                    </w:numPr>
                    <w:spacing w:line="240" w:lineRule="auto"/>
                    <w:jc w:val="center"/>
                    <w:rPr>
                      <w:rFonts w:hint="default"/>
                      <w:color w:val="auto"/>
                      <w:vertAlign w:val="baseline"/>
                      <w:lang w:val="en-US" w:eastAsia="zh-Hans"/>
                    </w:rPr>
                  </w:pPr>
                  <w:r>
                    <w:rPr>
                      <w:rFonts w:hint="default"/>
                      <w:color w:val="auto"/>
                      <w:vertAlign w:val="baseline"/>
                      <w:lang w:eastAsia="zh-Hans"/>
                    </w:rPr>
                    <w:t>3</w:t>
                  </w:r>
                  <w:r>
                    <w:rPr>
                      <w:rFonts w:hint="eastAsia"/>
                      <w:color w:val="auto"/>
                      <w:vertAlign w:val="baseline"/>
                      <w:lang w:val="en-US" w:eastAsia="zh-Hans"/>
                    </w:rPr>
                    <w:t>月</w:t>
                  </w:r>
                  <w:r>
                    <w:rPr>
                      <w:rFonts w:hint="default"/>
                      <w:color w:val="auto"/>
                      <w:vertAlign w:val="baseline"/>
                      <w:lang w:eastAsia="zh-Hans"/>
                    </w:rPr>
                    <w:t>8</w:t>
                  </w:r>
                  <w:r>
                    <w:rPr>
                      <w:rFonts w:hint="eastAsia"/>
                      <w:color w:val="auto"/>
                      <w:vertAlign w:val="baseline"/>
                      <w:lang w:val="en-US" w:eastAsia="zh-Hans"/>
                    </w:rPr>
                    <w:t>日</w:t>
                  </w:r>
                </w:p>
              </w:tc>
              <w:tc>
                <w:tcPr>
                  <w:tcW w:w="1068" w:type="dxa"/>
                  <w:vAlign w:val="center"/>
                </w:tcPr>
                <w:p>
                  <w:pPr>
                    <w:pStyle w:val="3"/>
                    <w:numPr>
                      <w:ilvl w:val="0"/>
                      <w:numId w:val="0"/>
                    </w:numPr>
                    <w:spacing w:line="240" w:lineRule="auto"/>
                    <w:jc w:val="center"/>
                    <w:rPr>
                      <w:rFonts w:hint="default"/>
                      <w:color w:val="auto"/>
                      <w:vertAlign w:val="baseline"/>
                      <w:lang w:val="en-US" w:eastAsia="zh-Hans"/>
                    </w:rPr>
                  </w:pPr>
                  <w:r>
                    <w:rPr>
                      <w:rFonts w:hint="eastAsia"/>
                      <w:color w:val="auto"/>
                      <w:vertAlign w:val="baseline"/>
                      <w:lang w:val="en-US" w:eastAsia="zh-Hans"/>
                    </w:rPr>
                    <w:t>昼间</w:t>
                  </w:r>
                </w:p>
              </w:tc>
              <w:tc>
                <w:tcPr>
                  <w:tcW w:w="2136" w:type="dxa"/>
                  <w:vAlign w:val="center"/>
                </w:tcPr>
                <w:p>
                  <w:pPr>
                    <w:pStyle w:val="3"/>
                    <w:numPr>
                      <w:ilvl w:val="0"/>
                      <w:numId w:val="0"/>
                    </w:numPr>
                    <w:spacing w:line="240" w:lineRule="auto"/>
                    <w:ind w:left="0" w:leftChars="0" w:firstLine="0" w:firstLineChars="0"/>
                    <w:jc w:val="center"/>
                    <w:rPr>
                      <w:rFonts w:hint="default"/>
                      <w:color w:val="auto"/>
                      <w:vertAlign w:val="baseline"/>
                      <w:lang w:eastAsia="zh-Hans"/>
                    </w:rPr>
                  </w:pPr>
                  <w:r>
                    <w:rPr>
                      <w:rFonts w:hint="default"/>
                      <w:color w:val="auto"/>
                      <w:vertAlign w:val="baseline"/>
                      <w:lang w:eastAsia="zh-Hans"/>
                    </w:rPr>
                    <w:t>59</w:t>
                  </w:r>
                  <w:r>
                    <w:rPr>
                      <w:rFonts w:hint="eastAsia"/>
                      <w:color w:val="auto"/>
                      <w:vertAlign w:val="baseline"/>
                      <w:lang w:val="en-US" w:eastAsia="zh-Hans"/>
                    </w:rPr>
                    <w:t>.</w:t>
                  </w:r>
                  <w:r>
                    <w:rPr>
                      <w:rFonts w:hint="default"/>
                      <w:color w:val="auto"/>
                      <w:vertAlign w:val="baseline"/>
                      <w:lang w:eastAsia="zh-Hans"/>
                    </w:rPr>
                    <w:t>3</w:t>
                  </w:r>
                </w:p>
              </w:tc>
              <w:tc>
                <w:tcPr>
                  <w:tcW w:w="2135" w:type="dxa"/>
                  <w:vAlign w:val="center"/>
                </w:tcPr>
                <w:p>
                  <w:pPr>
                    <w:pStyle w:val="3"/>
                    <w:numPr>
                      <w:ilvl w:val="0"/>
                      <w:numId w:val="0"/>
                    </w:numPr>
                    <w:spacing w:line="240" w:lineRule="auto"/>
                    <w:jc w:val="center"/>
                    <w:rPr>
                      <w:rFonts w:hint="default"/>
                      <w:color w:val="auto"/>
                      <w:vertAlign w:val="baseline"/>
                      <w:lang w:eastAsia="zh-Hans"/>
                    </w:rPr>
                  </w:pPr>
                  <w:r>
                    <w:rPr>
                      <w:rFonts w:hint="default"/>
                      <w:color w:val="auto"/>
                      <w:vertAlign w:val="baseline"/>
                      <w:lang w:eastAsia="zh-Hans"/>
                    </w:rPr>
                    <w:t>60</w:t>
                  </w:r>
                  <w:r>
                    <w:rPr>
                      <w:rFonts w:hint="eastAsia"/>
                      <w:color w:val="auto"/>
                      <w:vertAlign w:val="baseline"/>
                      <w:lang w:val="en-US" w:eastAsia="zh-Hans"/>
                    </w:rPr>
                    <w:t>.</w:t>
                  </w:r>
                  <w:r>
                    <w:rPr>
                      <w:rFonts w:hint="default"/>
                      <w:color w:val="auto"/>
                      <w:vertAlign w:val="baseline"/>
                      <w:lang w:eastAsia="zh-Hans"/>
                    </w:rPr>
                    <w:t>5</w:t>
                  </w:r>
                </w:p>
              </w:tc>
              <w:tc>
                <w:tcPr>
                  <w:tcW w:w="2135" w:type="dxa"/>
                  <w:vAlign w:val="bottom"/>
                </w:tcPr>
                <w:p>
                  <w:pPr>
                    <w:keepNext w:val="0"/>
                    <w:keepLines w:val="0"/>
                    <w:widowControl/>
                    <w:suppressLineNumbers w:val="0"/>
                    <w:jc w:val="center"/>
                    <w:textAlignment w:val="bottom"/>
                    <w:rPr>
                      <w:rFonts w:hint="default"/>
                      <w:color w:val="auto"/>
                      <w:vertAlign w:val="baseline"/>
                      <w:lang w:eastAsia="zh-Hans"/>
                    </w:rPr>
                  </w:pPr>
                  <w:r>
                    <w:rPr>
                      <w:rFonts w:hint="default" w:ascii="Times New Roman" w:hAnsi="Times New Roman" w:eastAsia="宋体" w:cs="Times New Roman"/>
                      <w:i w:val="0"/>
                      <w:iCs w:val="0"/>
                      <w:color w:val="000000"/>
                      <w:kern w:val="0"/>
                      <w:sz w:val="21"/>
                      <w:szCs w:val="21"/>
                      <w:u w:val="none"/>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7" w:type="dxa"/>
                  <w:vMerge w:val="continue"/>
                  <w:vAlign w:val="center"/>
                </w:tcPr>
                <w:p>
                  <w:pPr>
                    <w:pStyle w:val="3"/>
                    <w:numPr>
                      <w:ilvl w:val="0"/>
                      <w:numId w:val="0"/>
                    </w:numPr>
                    <w:spacing w:line="240" w:lineRule="auto"/>
                    <w:jc w:val="center"/>
                    <w:rPr>
                      <w:rFonts w:hint="default"/>
                      <w:color w:val="auto"/>
                      <w:vertAlign w:val="baseline"/>
                      <w:lang w:eastAsia="zh-Hans"/>
                    </w:rPr>
                  </w:pPr>
                </w:p>
              </w:tc>
              <w:tc>
                <w:tcPr>
                  <w:tcW w:w="1068" w:type="dxa"/>
                  <w:vAlign w:val="center"/>
                </w:tcPr>
                <w:p>
                  <w:pPr>
                    <w:pStyle w:val="3"/>
                    <w:numPr>
                      <w:ilvl w:val="0"/>
                      <w:numId w:val="0"/>
                    </w:numPr>
                    <w:spacing w:line="240" w:lineRule="auto"/>
                    <w:jc w:val="center"/>
                    <w:rPr>
                      <w:rFonts w:hint="default"/>
                      <w:color w:val="auto"/>
                      <w:vertAlign w:val="baseline"/>
                      <w:lang w:val="en-US" w:eastAsia="zh-Hans"/>
                    </w:rPr>
                  </w:pPr>
                  <w:r>
                    <w:rPr>
                      <w:rFonts w:hint="eastAsia"/>
                      <w:color w:val="auto"/>
                      <w:vertAlign w:val="baseline"/>
                      <w:lang w:val="en-US" w:eastAsia="zh-Hans"/>
                    </w:rPr>
                    <w:t>夜间</w:t>
                  </w:r>
                </w:p>
              </w:tc>
              <w:tc>
                <w:tcPr>
                  <w:tcW w:w="2136" w:type="dxa"/>
                  <w:vAlign w:val="center"/>
                </w:tcPr>
                <w:p>
                  <w:pPr>
                    <w:pStyle w:val="3"/>
                    <w:numPr>
                      <w:ilvl w:val="0"/>
                      <w:numId w:val="0"/>
                    </w:numPr>
                    <w:spacing w:line="240" w:lineRule="auto"/>
                    <w:ind w:left="0" w:leftChars="0" w:firstLine="0" w:firstLineChars="0"/>
                    <w:jc w:val="center"/>
                    <w:rPr>
                      <w:rFonts w:hint="default"/>
                      <w:color w:val="auto"/>
                      <w:vertAlign w:val="baseline"/>
                      <w:lang w:eastAsia="zh-Hans"/>
                    </w:rPr>
                  </w:pPr>
                  <w:r>
                    <w:rPr>
                      <w:rFonts w:hint="default"/>
                      <w:color w:val="auto"/>
                      <w:vertAlign w:val="baseline"/>
                      <w:lang w:eastAsia="zh-Hans"/>
                    </w:rPr>
                    <w:t>49</w:t>
                  </w:r>
                </w:p>
              </w:tc>
              <w:tc>
                <w:tcPr>
                  <w:tcW w:w="2135" w:type="dxa"/>
                  <w:vAlign w:val="center"/>
                </w:tcPr>
                <w:p>
                  <w:pPr>
                    <w:pStyle w:val="3"/>
                    <w:numPr>
                      <w:ilvl w:val="0"/>
                      <w:numId w:val="0"/>
                    </w:numPr>
                    <w:spacing w:line="240" w:lineRule="auto"/>
                    <w:jc w:val="center"/>
                    <w:rPr>
                      <w:rFonts w:hint="default"/>
                      <w:color w:val="auto"/>
                      <w:vertAlign w:val="baseline"/>
                      <w:lang w:eastAsia="zh-Hans"/>
                    </w:rPr>
                  </w:pPr>
                  <w:r>
                    <w:rPr>
                      <w:rFonts w:hint="default"/>
                      <w:color w:val="auto"/>
                      <w:vertAlign w:val="baseline"/>
                      <w:lang w:eastAsia="zh-Hans"/>
                    </w:rPr>
                    <w:t>50</w:t>
                  </w:r>
                </w:p>
              </w:tc>
              <w:tc>
                <w:tcPr>
                  <w:tcW w:w="2135" w:type="dxa"/>
                  <w:vAlign w:val="bottom"/>
                </w:tcPr>
                <w:p>
                  <w:pPr>
                    <w:keepNext w:val="0"/>
                    <w:keepLines w:val="0"/>
                    <w:widowControl/>
                    <w:suppressLineNumbers w:val="0"/>
                    <w:jc w:val="center"/>
                    <w:textAlignment w:val="bottom"/>
                    <w:rPr>
                      <w:rFonts w:hint="default"/>
                      <w:color w:val="auto"/>
                      <w:vertAlign w:val="baseline"/>
                      <w:lang w:eastAsia="zh-Hans"/>
                    </w:rPr>
                  </w:pPr>
                  <w:r>
                    <w:rPr>
                      <w:rFonts w:hint="default" w:ascii="Times New Roman" w:hAnsi="Times New Roman" w:eastAsia="宋体" w:cs="Times New Roman"/>
                      <w:i w:val="0"/>
                      <w:iCs w:val="0"/>
                      <w:color w:val="000000"/>
                      <w:kern w:val="0"/>
                      <w:sz w:val="21"/>
                      <w:szCs w:val="21"/>
                      <w:u w:val="none"/>
                      <w:lang w:val="en-US" w:eastAsia="zh-CN" w:bidi="ar"/>
                    </w:rPr>
                    <w:t>51</w:t>
                  </w:r>
                </w:p>
              </w:tc>
            </w:tr>
          </w:tbl>
          <w:p>
            <w:pPr>
              <w:pStyle w:val="3"/>
              <w:numPr>
                <w:ilvl w:val="0"/>
                <w:numId w:val="0"/>
              </w:numPr>
              <w:rPr>
                <w:rFonts w:hint="default"/>
                <w:b/>
                <w:bCs/>
                <w:color w:val="auto"/>
                <w:lang w:eastAsia="zh-Hans"/>
              </w:rPr>
            </w:pPr>
            <w:r>
              <w:rPr>
                <w:rFonts w:hint="eastAsia" w:ascii="宋体" w:hAnsi="宋体" w:eastAsia="宋体" w:cs="宋体"/>
                <w:b/>
                <w:bCs/>
                <w:color w:val="auto"/>
                <w:lang w:val="en-US" w:eastAsia="zh-Hans"/>
              </w:rPr>
              <w:t>※注</w:t>
            </w:r>
            <w:r>
              <w:rPr>
                <w:rFonts w:hint="default" w:ascii="宋体" w:hAnsi="宋体" w:eastAsia="宋体" w:cs="宋体"/>
                <w:b/>
                <w:bCs/>
                <w:color w:val="auto"/>
                <w:lang w:eastAsia="zh-Hans"/>
              </w:rPr>
              <w:t>：1、</w:t>
            </w:r>
            <w:r>
              <w:rPr>
                <w:rFonts w:hint="eastAsia" w:ascii="宋体" w:hAnsi="宋体" w:eastAsia="宋体" w:cs="宋体"/>
                <w:b/>
                <w:bCs/>
                <w:color w:val="auto"/>
                <w:lang w:val="en-US" w:eastAsia="zh-Hans"/>
              </w:rPr>
              <w:t>检测数据为平均值</w:t>
            </w:r>
            <w:r>
              <w:rPr>
                <w:rFonts w:hint="default" w:ascii="宋体" w:hAnsi="宋体" w:eastAsia="宋体" w:cs="宋体"/>
                <w:b/>
                <w:bCs/>
                <w:color w:val="auto"/>
                <w:lang w:eastAsia="zh-Hans"/>
              </w:rPr>
              <w:t>；2、</w:t>
            </w:r>
            <w:r>
              <w:rPr>
                <w:rFonts w:hint="eastAsia" w:ascii="宋体" w:hAnsi="宋体" w:cs="宋体"/>
                <w:b/>
                <w:bCs/>
                <w:color w:val="auto"/>
                <w:lang w:val="en-US" w:eastAsia="zh-CN"/>
              </w:rPr>
              <w:t>根据《排污单位自行检测技术指南 总则》（HJ819-2017），由于企业</w:t>
            </w:r>
            <w:r>
              <w:rPr>
                <w:rFonts w:hint="eastAsia" w:ascii="宋体" w:hAnsi="宋体" w:eastAsia="宋体" w:cs="宋体"/>
                <w:b/>
                <w:bCs/>
                <w:color w:val="auto"/>
                <w:lang w:val="en-US" w:eastAsia="zh-Hans"/>
              </w:rPr>
              <w:t>东南侧厂界</w:t>
            </w:r>
            <w:r>
              <w:rPr>
                <w:rFonts w:hint="eastAsia" w:ascii="宋体" w:hAnsi="宋体" w:cs="宋体"/>
                <w:b/>
                <w:bCs/>
                <w:color w:val="auto"/>
                <w:lang w:val="en-US" w:eastAsia="zh-CN"/>
              </w:rPr>
              <w:t>外</w:t>
            </w:r>
            <w:r>
              <w:rPr>
                <w:rFonts w:hint="eastAsia" w:ascii="宋体" w:hAnsi="宋体" w:eastAsia="宋体" w:cs="宋体"/>
                <w:b/>
                <w:bCs/>
                <w:color w:val="auto"/>
                <w:lang w:val="en-US" w:eastAsia="zh-Hans"/>
              </w:rPr>
              <w:t>为河道</w:t>
            </w:r>
            <w:r>
              <w:rPr>
                <w:rFonts w:hint="default" w:ascii="宋体" w:hAnsi="宋体" w:eastAsia="宋体" w:cs="宋体"/>
                <w:b/>
                <w:bCs/>
                <w:color w:val="auto"/>
                <w:lang w:eastAsia="zh-Hans"/>
              </w:rPr>
              <w:t>，</w:t>
            </w:r>
            <w:r>
              <w:rPr>
                <w:rFonts w:hint="eastAsia" w:ascii="宋体" w:hAnsi="宋体" w:eastAsia="宋体" w:cs="宋体"/>
                <w:b/>
                <w:bCs/>
                <w:color w:val="auto"/>
                <w:lang w:val="en-US" w:eastAsia="zh-Hans"/>
              </w:rPr>
              <w:t>故未进行噪声检测</w:t>
            </w:r>
            <w:r>
              <w:rPr>
                <w:rFonts w:hint="default" w:ascii="宋体" w:hAnsi="宋体" w:eastAsia="宋体" w:cs="宋体"/>
                <w:b/>
                <w:bCs/>
                <w:color w:val="auto"/>
                <w:lang w:eastAsia="zh-Hans"/>
              </w:rPr>
              <w:t>。</w:t>
            </w:r>
          </w:p>
          <w:p>
            <w:pPr>
              <w:adjustRightInd w:val="0"/>
              <w:snapToGrid w:val="0"/>
              <w:spacing w:line="500" w:lineRule="exact"/>
              <w:ind w:firstLine="480"/>
              <w:jc w:val="both"/>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场界噪声影响预测</w:t>
            </w:r>
          </w:p>
          <w:p>
            <w:pPr>
              <w:spacing w:line="500" w:lineRule="exact"/>
              <w:jc w:val="center"/>
              <w:rPr>
                <w:b/>
                <w:bCs/>
                <w:sz w:val="24"/>
              </w:rPr>
            </w:pPr>
            <w:r>
              <w:rPr>
                <w:rFonts w:hint="eastAsia"/>
                <w:b/>
                <w:bCs/>
                <w:sz w:val="24"/>
                <w:lang w:val="en-US" w:eastAsia="zh-CN"/>
              </w:rPr>
              <w:t xml:space="preserve">表4-6 </w:t>
            </w:r>
            <w:r>
              <w:rPr>
                <w:b/>
                <w:bCs/>
                <w:sz w:val="24"/>
                <w:lang w:val="zh-CN"/>
              </w:rPr>
              <w:t>场界噪声结果</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315"/>
              <w:gridCol w:w="1558"/>
              <w:gridCol w:w="1829"/>
              <w:gridCol w:w="1829"/>
              <w:gridCol w:w="1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vMerge w:val="restart"/>
                  <w:noWrap w:val="0"/>
                  <w:vAlign w:val="center"/>
                </w:tcPr>
                <w:p>
                  <w:pPr>
                    <w:jc w:val="center"/>
                    <w:rPr>
                      <w:b/>
                      <w:sz w:val="21"/>
                      <w:szCs w:val="21"/>
                    </w:rPr>
                  </w:pPr>
                  <w:r>
                    <w:rPr>
                      <w:b/>
                      <w:sz w:val="21"/>
                      <w:szCs w:val="21"/>
                    </w:rPr>
                    <w:t>序号</w:t>
                  </w:r>
                </w:p>
              </w:tc>
              <w:tc>
                <w:tcPr>
                  <w:tcW w:w="746" w:type="pct"/>
                  <w:vMerge w:val="restart"/>
                  <w:noWrap w:val="0"/>
                  <w:vAlign w:val="center"/>
                </w:tcPr>
                <w:p>
                  <w:pPr>
                    <w:jc w:val="center"/>
                    <w:rPr>
                      <w:b/>
                      <w:sz w:val="21"/>
                      <w:szCs w:val="21"/>
                    </w:rPr>
                  </w:pPr>
                  <w:r>
                    <w:rPr>
                      <w:b/>
                      <w:sz w:val="21"/>
                      <w:szCs w:val="21"/>
                    </w:rPr>
                    <w:t>设备名称</w:t>
                  </w:r>
                </w:p>
              </w:tc>
              <w:tc>
                <w:tcPr>
                  <w:tcW w:w="885" w:type="pct"/>
                  <w:vMerge w:val="restart"/>
                  <w:noWrap w:val="0"/>
                  <w:vAlign w:val="center"/>
                </w:tcPr>
                <w:p>
                  <w:pPr>
                    <w:jc w:val="center"/>
                    <w:rPr>
                      <w:b/>
                      <w:sz w:val="21"/>
                      <w:szCs w:val="21"/>
                    </w:rPr>
                  </w:pPr>
                  <w:r>
                    <w:rPr>
                      <w:b/>
                      <w:sz w:val="21"/>
                      <w:szCs w:val="21"/>
                    </w:rPr>
                    <w:t>等效源强</w:t>
                  </w:r>
                </w:p>
                <w:p>
                  <w:pPr>
                    <w:jc w:val="center"/>
                    <w:rPr>
                      <w:b/>
                      <w:sz w:val="21"/>
                      <w:szCs w:val="21"/>
                    </w:rPr>
                  </w:pPr>
                  <w:r>
                    <w:rPr>
                      <w:b/>
                      <w:sz w:val="21"/>
                      <w:szCs w:val="21"/>
                    </w:rPr>
                    <w:t>dB(A)</w:t>
                  </w:r>
                </w:p>
              </w:tc>
              <w:tc>
                <w:tcPr>
                  <w:tcW w:w="3119" w:type="pct"/>
                  <w:gridSpan w:val="3"/>
                  <w:tcBorders>
                    <w:top w:val="single" w:color="auto" w:sz="12" w:space="0"/>
                    <w:right w:val="nil"/>
                  </w:tcBorders>
                  <w:noWrap w:val="0"/>
                  <w:vAlign w:val="center"/>
                </w:tcPr>
                <w:p>
                  <w:pPr>
                    <w:jc w:val="center"/>
                    <w:rPr>
                      <w:b/>
                      <w:sz w:val="21"/>
                      <w:szCs w:val="21"/>
                    </w:rPr>
                  </w:pPr>
                  <w:r>
                    <w:rPr>
                      <w:b/>
                      <w:sz w:val="21"/>
                      <w:szCs w:val="21"/>
                    </w:rPr>
                    <w:t>距离衰减后预测点影响值/dB（A）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48" w:type="pct"/>
                  <w:vMerge w:val="continue"/>
                  <w:noWrap w:val="0"/>
                  <w:vAlign w:val="center"/>
                </w:tcPr>
                <w:p>
                  <w:pPr>
                    <w:jc w:val="center"/>
                    <w:rPr>
                      <w:b/>
                      <w:sz w:val="21"/>
                      <w:szCs w:val="21"/>
                    </w:rPr>
                  </w:pPr>
                </w:p>
              </w:tc>
              <w:tc>
                <w:tcPr>
                  <w:tcW w:w="746" w:type="pct"/>
                  <w:vMerge w:val="continue"/>
                  <w:noWrap w:val="0"/>
                  <w:vAlign w:val="center"/>
                </w:tcPr>
                <w:p>
                  <w:pPr>
                    <w:jc w:val="center"/>
                    <w:rPr>
                      <w:b/>
                      <w:sz w:val="21"/>
                      <w:szCs w:val="21"/>
                    </w:rPr>
                  </w:pPr>
                </w:p>
              </w:tc>
              <w:tc>
                <w:tcPr>
                  <w:tcW w:w="885" w:type="pct"/>
                  <w:vMerge w:val="continue"/>
                  <w:noWrap w:val="0"/>
                  <w:vAlign w:val="center"/>
                </w:tcPr>
                <w:p>
                  <w:pPr>
                    <w:jc w:val="center"/>
                    <w:rPr>
                      <w:b/>
                      <w:sz w:val="21"/>
                      <w:szCs w:val="21"/>
                    </w:rPr>
                  </w:pPr>
                </w:p>
              </w:tc>
              <w:tc>
                <w:tcPr>
                  <w:tcW w:w="1829" w:type="dxa"/>
                  <w:noWrap w:val="0"/>
                  <w:vAlign w:val="center"/>
                </w:tcPr>
                <w:p>
                  <w:pPr>
                    <w:pStyle w:val="3"/>
                    <w:numPr>
                      <w:ilvl w:val="0"/>
                      <w:numId w:val="0"/>
                    </w:numPr>
                    <w:spacing w:line="240" w:lineRule="auto"/>
                    <w:ind w:left="0" w:leftChars="0" w:firstLine="0" w:firstLineChars="0"/>
                    <w:jc w:val="center"/>
                    <w:rPr>
                      <w:b/>
                      <w:bCs/>
                      <w:sz w:val="21"/>
                      <w:szCs w:val="21"/>
                    </w:rPr>
                  </w:pPr>
                  <w:r>
                    <w:rPr>
                      <w:rFonts w:hint="eastAsia"/>
                      <w:b/>
                      <w:bCs/>
                      <w:color w:val="auto"/>
                      <w:vertAlign w:val="baseline"/>
                      <w:lang w:val="en-US" w:eastAsia="zh-CN"/>
                    </w:rPr>
                    <w:t>东北</w:t>
                  </w:r>
                  <w:r>
                    <w:rPr>
                      <w:rFonts w:hint="eastAsia"/>
                      <w:b/>
                      <w:bCs/>
                      <w:color w:val="auto"/>
                      <w:vertAlign w:val="baseline"/>
                      <w:lang w:val="en-US" w:eastAsia="zh-Hans"/>
                    </w:rPr>
                    <w:t>侧厂界</w:t>
                  </w:r>
                </w:p>
              </w:tc>
              <w:tc>
                <w:tcPr>
                  <w:tcW w:w="1829" w:type="dxa"/>
                  <w:noWrap w:val="0"/>
                  <w:vAlign w:val="center"/>
                </w:tcPr>
                <w:p>
                  <w:pPr>
                    <w:pStyle w:val="3"/>
                    <w:numPr>
                      <w:ilvl w:val="0"/>
                      <w:numId w:val="0"/>
                    </w:numPr>
                    <w:spacing w:line="240" w:lineRule="auto"/>
                    <w:ind w:left="0" w:leftChars="0" w:firstLine="0" w:firstLineChars="0"/>
                    <w:jc w:val="center"/>
                    <w:rPr>
                      <w:b/>
                      <w:bCs/>
                      <w:sz w:val="21"/>
                      <w:szCs w:val="21"/>
                    </w:rPr>
                  </w:pPr>
                  <w:r>
                    <w:rPr>
                      <w:rFonts w:hint="eastAsia"/>
                      <w:b/>
                      <w:bCs/>
                      <w:color w:val="auto"/>
                      <w:vertAlign w:val="baseline"/>
                      <w:lang w:val="en-US" w:eastAsia="zh-Hans"/>
                    </w:rPr>
                    <w:t>西北侧厂界</w:t>
                  </w:r>
                </w:p>
              </w:tc>
              <w:tc>
                <w:tcPr>
                  <w:tcW w:w="1833" w:type="dxa"/>
                  <w:noWrap w:val="0"/>
                  <w:vAlign w:val="center"/>
                </w:tcPr>
                <w:p>
                  <w:pPr>
                    <w:pStyle w:val="3"/>
                    <w:numPr>
                      <w:ilvl w:val="0"/>
                      <w:numId w:val="0"/>
                    </w:numPr>
                    <w:spacing w:line="240" w:lineRule="auto"/>
                    <w:ind w:left="0" w:leftChars="0" w:firstLine="0" w:firstLineChars="0"/>
                    <w:jc w:val="center"/>
                    <w:rPr>
                      <w:b/>
                      <w:bCs/>
                      <w:sz w:val="21"/>
                      <w:szCs w:val="21"/>
                    </w:rPr>
                  </w:pPr>
                  <w:r>
                    <w:rPr>
                      <w:rFonts w:hint="eastAsia"/>
                      <w:b/>
                      <w:bCs/>
                      <w:color w:val="auto"/>
                      <w:vertAlign w:val="baseline"/>
                      <w:lang w:val="en-US" w:eastAsia="zh-CN"/>
                    </w:rPr>
                    <w:t>西南</w:t>
                  </w:r>
                  <w:r>
                    <w:rPr>
                      <w:rFonts w:hint="eastAsia"/>
                      <w:b/>
                      <w:bCs/>
                      <w:color w:val="auto"/>
                      <w:vertAlign w:val="baseline"/>
                      <w:lang w:val="en-US" w:eastAsia="zh-Hans"/>
                    </w:rPr>
                    <w:t>侧厂界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48" w:type="pct"/>
                  <w:noWrap w:val="0"/>
                  <w:vAlign w:val="center"/>
                </w:tcPr>
                <w:p>
                  <w:pPr>
                    <w:jc w:val="center"/>
                    <w:rPr>
                      <w:sz w:val="21"/>
                      <w:szCs w:val="21"/>
                    </w:rPr>
                  </w:pPr>
                  <w:bookmarkStart w:id="15" w:name="OLE_LINK4" w:colFirst="3" w:colLast="7"/>
                  <w:bookmarkStart w:id="16" w:name="OLE_LINK2" w:colFirst="3" w:colLast="7"/>
                  <w:r>
                    <w:rPr>
                      <w:sz w:val="21"/>
                      <w:szCs w:val="21"/>
                    </w:rPr>
                    <w:t>1</w:t>
                  </w:r>
                </w:p>
              </w:tc>
              <w:tc>
                <w:tcPr>
                  <w:tcW w:w="746" w:type="pct"/>
                  <w:noWrap w:val="0"/>
                  <w:vAlign w:val="center"/>
                </w:tcPr>
                <w:p>
                  <w:pPr>
                    <w:jc w:val="center"/>
                    <w:rPr>
                      <w:kern w:val="0"/>
                      <w:sz w:val="21"/>
                      <w:szCs w:val="21"/>
                    </w:rPr>
                  </w:pPr>
                  <w:r>
                    <w:rPr>
                      <w:rFonts w:hint="eastAsia"/>
                      <w:sz w:val="21"/>
                      <w:szCs w:val="21"/>
                      <w:lang w:val="en-US" w:eastAsia="zh-CN"/>
                    </w:rPr>
                    <w:t>针点刺字机</w:t>
                  </w:r>
                </w:p>
              </w:tc>
              <w:tc>
                <w:tcPr>
                  <w:tcW w:w="885" w:type="pct"/>
                  <w:noWrap w:val="0"/>
                  <w:vAlign w:val="center"/>
                </w:tcPr>
                <w:p>
                  <w:pPr>
                    <w:jc w:val="center"/>
                    <w:rPr>
                      <w:sz w:val="21"/>
                      <w:szCs w:val="21"/>
                    </w:rPr>
                  </w:pPr>
                  <w:r>
                    <w:rPr>
                      <w:rFonts w:hint="eastAsia"/>
                      <w:sz w:val="21"/>
                      <w:szCs w:val="21"/>
                      <w:lang w:val="en-US" w:eastAsia="zh-CN"/>
                    </w:rPr>
                    <w:t>75</w:t>
                  </w:r>
                </w:p>
              </w:tc>
              <w:tc>
                <w:tcPr>
                  <w:tcW w:w="1039"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21.01</w:t>
                  </w:r>
                </w:p>
              </w:tc>
              <w:tc>
                <w:tcPr>
                  <w:tcW w:w="1039"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22.35</w:t>
                  </w:r>
                </w:p>
              </w:tc>
              <w:tc>
                <w:tcPr>
                  <w:tcW w:w="1040"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48" w:type="pct"/>
                  <w:noWrap w:val="0"/>
                  <w:vAlign w:val="center"/>
                </w:tcPr>
                <w:p>
                  <w:pPr>
                    <w:jc w:val="center"/>
                    <w:rPr>
                      <w:sz w:val="21"/>
                      <w:szCs w:val="21"/>
                    </w:rPr>
                  </w:pPr>
                  <w:r>
                    <w:rPr>
                      <w:sz w:val="21"/>
                      <w:szCs w:val="21"/>
                    </w:rPr>
                    <w:t>2</w:t>
                  </w:r>
                </w:p>
              </w:tc>
              <w:tc>
                <w:tcPr>
                  <w:tcW w:w="746" w:type="pct"/>
                  <w:noWrap w:val="0"/>
                  <w:vAlign w:val="center"/>
                </w:tcPr>
                <w:p>
                  <w:pPr>
                    <w:jc w:val="center"/>
                    <w:rPr>
                      <w:sz w:val="21"/>
                      <w:szCs w:val="21"/>
                    </w:rPr>
                  </w:pPr>
                  <w:r>
                    <w:rPr>
                      <w:rFonts w:hint="eastAsia"/>
                      <w:sz w:val="21"/>
                      <w:szCs w:val="21"/>
                      <w:lang w:val="en-US" w:eastAsia="zh-CN"/>
                    </w:rPr>
                    <w:t>中和清洗机</w:t>
                  </w:r>
                </w:p>
              </w:tc>
              <w:tc>
                <w:tcPr>
                  <w:tcW w:w="885" w:type="pct"/>
                  <w:noWrap w:val="0"/>
                  <w:vAlign w:val="center"/>
                </w:tcPr>
                <w:p>
                  <w:pPr>
                    <w:jc w:val="center"/>
                    <w:rPr>
                      <w:kern w:val="0"/>
                      <w:sz w:val="21"/>
                      <w:szCs w:val="21"/>
                      <w:lang w:bidi="ar"/>
                    </w:rPr>
                  </w:pPr>
                  <w:r>
                    <w:rPr>
                      <w:rFonts w:hint="eastAsia"/>
                      <w:sz w:val="21"/>
                      <w:szCs w:val="21"/>
                      <w:lang w:val="en-US" w:eastAsia="zh-CN"/>
                    </w:rPr>
                    <w:t>70</w:t>
                  </w:r>
                </w:p>
              </w:tc>
              <w:tc>
                <w:tcPr>
                  <w:tcW w:w="1039"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16.44</w:t>
                  </w:r>
                </w:p>
              </w:tc>
              <w:tc>
                <w:tcPr>
                  <w:tcW w:w="1039"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17.19</w:t>
                  </w:r>
                </w:p>
              </w:tc>
              <w:tc>
                <w:tcPr>
                  <w:tcW w:w="1040"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48" w:type="pct"/>
                  <w:noWrap w:val="0"/>
                  <w:vAlign w:val="center"/>
                </w:tcPr>
                <w:p>
                  <w:pPr>
                    <w:jc w:val="center"/>
                    <w:rPr>
                      <w:sz w:val="21"/>
                      <w:szCs w:val="21"/>
                    </w:rPr>
                  </w:pPr>
                  <w:r>
                    <w:rPr>
                      <w:rFonts w:hint="eastAsia"/>
                      <w:sz w:val="21"/>
                      <w:szCs w:val="21"/>
                      <w:lang w:val="en-US" w:eastAsia="zh-CN"/>
                    </w:rPr>
                    <w:t>3</w:t>
                  </w:r>
                </w:p>
              </w:tc>
              <w:tc>
                <w:tcPr>
                  <w:tcW w:w="746" w:type="pct"/>
                  <w:noWrap w:val="0"/>
                  <w:vAlign w:val="center"/>
                </w:tcPr>
                <w:p>
                  <w:pPr>
                    <w:jc w:val="center"/>
                    <w:rPr>
                      <w:sz w:val="21"/>
                      <w:szCs w:val="21"/>
                    </w:rPr>
                  </w:pPr>
                  <w:r>
                    <w:rPr>
                      <w:rFonts w:hint="eastAsia"/>
                      <w:sz w:val="21"/>
                      <w:szCs w:val="21"/>
                      <w:lang w:val="en-US" w:eastAsia="zh-CN"/>
                    </w:rPr>
                    <w:t>油雾旋风分离装置</w:t>
                  </w:r>
                </w:p>
              </w:tc>
              <w:tc>
                <w:tcPr>
                  <w:tcW w:w="885" w:type="pct"/>
                  <w:noWrap w:val="0"/>
                  <w:vAlign w:val="center"/>
                </w:tcPr>
                <w:p>
                  <w:pPr>
                    <w:jc w:val="center"/>
                    <w:rPr>
                      <w:kern w:val="0"/>
                      <w:sz w:val="21"/>
                      <w:szCs w:val="21"/>
                      <w:lang w:bidi="ar"/>
                    </w:rPr>
                  </w:pPr>
                  <w:r>
                    <w:rPr>
                      <w:rFonts w:hint="eastAsia"/>
                      <w:sz w:val="21"/>
                      <w:szCs w:val="21"/>
                      <w:lang w:val="en-US" w:eastAsia="zh-CN"/>
                    </w:rPr>
                    <w:t>75</w:t>
                  </w:r>
                </w:p>
              </w:tc>
              <w:tc>
                <w:tcPr>
                  <w:tcW w:w="1039"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21.44</w:t>
                  </w:r>
                </w:p>
              </w:tc>
              <w:tc>
                <w:tcPr>
                  <w:tcW w:w="1039"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22.68</w:t>
                  </w:r>
                </w:p>
              </w:tc>
              <w:tc>
                <w:tcPr>
                  <w:tcW w:w="1040"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0" w:type="pct"/>
                  <w:gridSpan w:val="3"/>
                  <w:noWrap w:val="0"/>
                  <w:vAlign w:val="bottom"/>
                </w:tcPr>
                <w:p>
                  <w:pPr>
                    <w:keepNext w:val="0"/>
                    <w:keepLines w:val="0"/>
                    <w:widowControl/>
                    <w:suppressLineNumbers w:val="0"/>
                    <w:jc w:val="center"/>
                    <w:textAlignment w:val="bottom"/>
                    <w:rPr>
                      <w:kern w:val="0"/>
                      <w:sz w:val="21"/>
                      <w:szCs w:val="21"/>
                      <w:lang w:bidi="ar"/>
                    </w:rPr>
                  </w:pPr>
                  <w:r>
                    <w:rPr>
                      <w:rFonts w:hint="eastAsia" w:ascii="宋体" w:hAnsi="宋体" w:eastAsia="宋体" w:cs="宋体"/>
                      <w:b/>
                      <w:bCs/>
                      <w:i w:val="0"/>
                      <w:iCs w:val="0"/>
                      <w:color w:val="000000"/>
                      <w:kern w:val="0"/>
                      <w:sz w:val="21"/>
                      <w:szCs w:val="21"/>
                      <w:u w:val="none"/>
                      <w:lang w:val="en-US" w:eastAsia="zh-CN" w:bidi="ar"/>
                    </w:rPr>
                    <w:t>预测值</w:t>
                  </w:r>
                </w:p>
              </w:tc>
              <w:tc>
                <w:tcPr>
                  <w:tcW w:w="1039"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24.96</w:t>
                  </w:r>
                </w:p>
              </w:tc>
              <w:tc>
                <w:tcPr>
                  <w:tcW w:w="1039"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26.17</w:t>
                  </w:r>
                </w:p>
              </w:tc>
              <w:tc>
                <w:tcPr>
                  <w:tcW w:w="1040"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0" w:type="pct"/>
                  <w:gridSpan w:val="3"/>
                  <w:noWrap w:val="0"/>
                  <w:vAlign w:val="bottom"/>
                </w:tcPr>
                <w:p>
                  <w:pPr>
                    <w:keepNext w:val="0"/>
                    <w:keepLines w:val="0"/>
                    <w:widowControl/>
                    <w:suppressLineNumbers w:val="0"/>
                    <w:jc w:val="center"/>
                    <w:textAlignment w:val="bottom"/>
                    <w:rPr>
                      <w:kern w:val="0"/>
                      <w:sz w:val="21"/>
                      <w:szCs w:val="21"/>
                      <w:lang w:bidi="ar"/>
                    </w:rPr>
                  </w:pPr>
                  <w:r>
                    <w:rPr>
                      <w:rFonts w:hint="eastAsia" w:ascii="宋体" w:hAnsi="宋体" w:cs="宋体"/>
                      <w:b/>
                      <w:bCs/>
                      <w:i w:val="0"/>
                      <w:iCs w:val="0"/>
                      <w:color w:val="000000"/>
                      <w:kern w:val="0"/>
                      <w:sz w:val="21"/>
                      <w:szCs w:val="21"/>
                      <w:u w:val="none"/>
                      <w:lang w:val="en-US" w:eastAsia="zh-CN" w:bidi="ar"/>
                    </w:rPr>
                    <w:t>昼间</w:t>
                  </w:r>
                  <w:r>
                    <w:rPr>
                      <w:rFonts w:hint="eastAsia" w:ascii="宋体" w:hAnsi="宋体" w:eastAsia="宋体" w:cs="宋体"/>
                      <w:b/>
                      <w:bCs/>
                      <w:i w:val="0"/>
                      <w:iCs w:val="0"/>
                      <w:color w:val="000000"/>
                      <w:kern w:val="0"/>
                      <w:sz w:val="21"/>
                      <w:szCs w:val="21"/>
                      <w:u w:val="none"/>
                      <w:lang w:val="en-US" w:eastAsia="zh-CN" w:bidi="ar"/>
                    </w:rPr>
                    <w:t>背景值</w:t>
                  </w:r>
                </w:p>
              </w:tc>
              <w:tc>
                <w:tcPr>
                  <w:tcW w:w="1829" w:type="dxa"/>
                  <w:noWrap w:val="0"/>
                  <w:vAlign w:val="bottom"/>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60.15</w:t>
                  </w:r>
                </w:p>
              </w:tc>
              <w:tc>
                <w:tcPr>
                  <w:tcW w:w="1829" w:type="dxa"/>
                  <w:noWrap w:val="0"/>
                  <w:vAlign w:val="bottom"/>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58.4</w:t>
                  </w:r>
                </w:p>
              </w:tc>
              <w:tc>
                <w:tcPr>
                  <w:tcW w:w="1833" w:type="dxa"/>
                  <w:noWrap w:val="0"/>
                  <w:vAlign w:val="bottom"/>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0" w:type="pct"/>
                  <w:gridSpan w:val="3"/>
                  <w:noWrap w:val="0"/>
                  <w:vAlign w:val="bottom"/>
                </w:tcPr>
                <w:p>
                  <w:pPr>
                    <w:keepNext w:val="0"/>
                    <w:keepLines w:val="0"/>
                    <w:widowControl/>
                    <w:suppressLineNumbers w:val="0"/>
                    <w:jc w:val="center"/>
                    <w:textAlignment w:val="bottom"/>
                    <w:rPr>
                      <w:kern w:val="0"/>
                      <w:sz w:val="21"/>
                      <w:szCs w:val="21"/>
                      <w:lang w:bidi="ar"/>
                    </w:rPr>
                  </w:pPr>
                  <w:r>
                    <w:rPr>
                      <w:rFonts w:hint="eastAsia" w:ascii="宋体" w:hAnsi="宋体" w:cs="宋体"/>
                      <w:b/>
                      <w:bCs/>
                      <w:i w:val="0"/>
                      <w:iCs w:val="0"/>
                      <w:color w:val="000000"/>
                      <w:kern w:val="0"/>
                      <w:sz w:val="21"/>
                      <w:szCs w:val="21"/>
                      <w:u w:val="none"/>
                      <w:lang w:val="en-US" w:eastAsia="zh-CN" w:bidi="ar"/>
                    </w:rPr>
                    <w:t>昼间</w:t>
                  </w:r>
                  <w:r>
                    <w:rPr>
                      <w:rFonts w:hint="eastAsia" w:ascii="宋体" w:hAnsi="宋体" w:eastAsia="宋体" w:cs="宋体"/>
                      <w:b/>
                      <w:bCs/>
                      <w:i w:val="0"/>
                      <w:iCs w:val="0"/>
                      <w:color w:val="000000"/>
                      <w:kern w:val="0"/>
                      <w:sz w:val="21"/>
                      <w:szCs w:val="21"/>
                      <w:u w:val="none"/>
                      <w:lang w:val="en-US" w:eastAsia="zh-CN" w:bidi="ar"/>
                    </w:rPr>
                    <w:t>叠加值</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60.15 </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58.40 </w:t>
                  </w:r>
                </w:p>
              </w:tc>
              <w:tc>
                <w:tcPr>
                  <w:tcW w:w="18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60.85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0" w:type="pct"/>
                  <w:gridSpan w:val="3"/>
                  <w:noWrap w:val="0"/>
                  <w:vAlign w:val="bottom"/>
                </w:tcPr>
                <w:p>
                  <w:pPr>
                    <w:keepNext w:val="0"/>
                    <w:keepLines w:val="0"/>
                    <w:widowControl/>
                    <w:suppressLineNumbers w:val="0"/>
                    <w:jc w:val="center"/>
                    <w:textAlignment w:val="bottom"/>
                    <w:rPr>
                      <w:rFonts w:hint="eastAsia"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夜间</w:t>
                  </w:r>
                  <w:r>
                    <w:rPr>
                      <w:rFonts w:hint="eastAsia" w:ascii="宋体" w:hAnsi="宋体" w:eastAsia="宋体" w:cs="宋体"/>
                      <w:b/>
                      <w:bCs/>
                      <w:i w:val="0"/>
                      <w:iCs w:val="0"/>
                      <w:color w:val="000000"/>
                      <w:kern w:val="0"/>
                      <w:sz w:val="21"/>
                      <w:szCs w:val="21"/>
                      <w:u w:val="none"/>
                      <w:lang w:val="en-US" w:eastAsia="zh-CN" w:bidi="ar"/>
                    </w:rPr>
                    <w:t>背景值</w:t>
                  </w:r>
                </w:p>
              </w:tc>
              <w:tc>
                <w:tcPr>
                  <w:tcW w:w="1829" w:type="dxa"/>
                  <w:noWrap w:val="0"/>
                  <w:vAlign w:val="bottom"/>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829" w:type="dxa"/>
                  <w:noWrap w:val="0"/>
                  <w:vAlign w:val="bottom"/>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58.4</w:t>
                  </w:r>
                </w:p>
              </w:tc>
              <w:tc>
                <w:tcPr>
                  <w:tcW w:w="1833" w:type="dxa"/>
                  <w:noWrap w:val="0"/>
                  <w:vAlign w:val="bottom"/>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0" w:type="pct"/>
                  <w:gridSpan w:val="3"/>
                  <w:noWrap w:val="0"/>
                  <w:vAlign w:val="bottom"/>
                </w:tcPr>
                <w:p>
                  <w:pPr>
                    <w:keepNext w:val="0"/>
                    <w:keepLines w:val="0"/>
                    <w:widowControl/>
                    <w:suppressLineNumbers w:val="0"/>
                    <w:jc w:val="center"/>
                    <w:textAlignment w:val="bottom"/>
                    <w:rPr>
                      <w:rFonts w:hint="eastAsia"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夜间</w:t>
                  </w:r>
                  <w:r>
                    <w:rPr>
                      <w:rFonts w:hint="eastAsia" w:ascii="宋体" w:hAnsi="宋体" w:eastAsia="宋体" w:cs="宋体"/>
                      <w:b/>
                      <w:bCs/>
                      <w:i w:val="0"/>
                      <w:iCs w:val="0"/>
                      <w:color w:val="000000"/>
                      <w:kern w:val="0"/>
                      <w:sz w:val="21"/>
                      <w:szCs w:val="21"/>
                      <w:u w:val="none"/>
                      <w:lang w:val="en-US" w:eastAsia="zh-CN" w:bidi="ar"/>
                    </w:rPr>
                    <w:t>叠加值</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50.01 </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58.40 </w:t>
                  </w:r>
                </w:p>
              </w:tc>
              <w:tc>
                <w:tcPr>
                  <w:tcW w:w="18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50.85 </w:t>
                  </w:r>
                </w:p>
              </w:tc>
            </w:tr>
            <w:bookmarkEnd w:id="15"/>
            <w:bookmarkEnd w:id="16"/>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5" w:type="pct"/>
                  <w:gridSpan w:val="2"/>
                  <w:vMerge w:val="restart"/>
                  <w:noWrap w:val="0"/>
                  <w:vAlign w:val="center"/>
                </w:tcPr>
                <w:p>
                  <w:pPr>
                    <w:jc w:val="center"/>
                    <w:rPr>
                      <w:kern w:val="0"/>
                      <w:sz w:val="21"/>
                      <w:szCs w:val="21"/>
                    </w:rPr>
                  </w:pPr>
                  <w:r>
                    <w:rPr>
                      <w:kern w:val="0"/>
                      <w:sz w:val="21"/>
                      <w:szCs w:val="21"/>
                    </w:rPr>
                    <w:t>标准限值</w:t>
                  </w:r>
                </w:p>
              </w:tc>
              <w:tc>
                <w:tcPr>
                  <w:tcW w:w="885" w:type="pct"/>
                  <w:noWrap w:val="0"/>
                  <w:vAlign w:val="center"/>
                </w:tcPr>
                <w:p>
                  <w:pPr>
                    <w:jc w:val="center"/>
                    <w:rPr>
                      <w:sz w:val="21"/>
                      <w:szCs w:val="21"/>
                    </w:rPr>
                  </w:pPr>
                  <w:r>
                    <w:rPr>
                      <w:sz w:val="21"/>
                      <w:szCs w:val="21"/>
                    </w:rPr>
                    <w:t>昼间</w:t>
                  </w:r>
                </w:p>
              </w:tc>
              <w:tc>
                <w:tcPr>
                  <w:tcW w:w="3119" w:type="pct"/>
                  <w:gridSpan w:val="3"/>
                  <w:noWrap w:val="0"/>
                  <w:vAlign w:val="center"/>
                </w:tcPr>
                <w:p>
                  <w:pPr>
                    <w:jc w:val="center"/>
                    <w:rPr>
                      <w:sz w:val="21"/>
                      <w:szCs w:val="21"/>
                    </w:rPr>
                  </w:pPr>
                  <w:r>
                    <w:rPr>
                      <w:sz w:val="21"/>
                      <w:szCs w:val="21"/>
                    </w:rPr>
                    <w:t>≤65dB（A）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5" w:type="pct"/>
                  <w:gridSpan w:val="2"/>
                  <w:vMerge w:val="continue"/>
                  <w:noWrap w:val="0"/>
                  <w:vAlign w:val="center"/>
                </w:tcPr>
                <w:p>
                  <w:pPr>
                    <w:jc w:val="center"/>
                    <w:rPr>
                      <w:kern w:val="0"/>
                      <w:sz w:val="21"/>
                      <w:szCs w:val="21"/>
                    </w:rPr>
                  </w:pPr>
                </w:p>
              </w:tc>
              <w:tc>
                <w:tcPr>
                  <w:tcW w:w="885" w:type="pct"/>
                  <w:noWrap w:val="0"/>
                  <w:vAlign w:val="center"/>
                </w:tcPr>
                <w:p>
                  <w:pPr>
                    <w:jc w:val="center"/>
                    <w:rPr>
                      <w:sz w:val="21"/>
                      <w:szCs w:val="21"/>
                    </w:rPr>
                  </w:pPr>
                  <w:r>
                    <w:rPr>
                      <w:sz w:val="21"/>
                      <w:szCs w:val="21"/>
                    </w:rPr>
                    <w:t>夜间</w:t>
                  </w:r>
                </w:p>
              </w:tc>
              <w:tc>
                <w:tcPr>
                  <w:tcW w:w="3119" w:type="pct"/>
                  <w:gridSpan w:val="3"/>
                  <w:noWrap w:val="0"/>
                  <w:vAlign w:val="center"/>
                </w:tcPr>
                <w:p>
                  <w:pPr>
                    <w:jc w:val="center"/>
                    <w:rPr>
                      <w:sz w:val="21"/>
                      <w:szCs w:val="21"/>
                    </w:rPr>
                  </w:pPr>
                  <w:r>
                    <w:rPr>
                      <w:sz w:val="21"/>
                      <w:szCs w:val="21"/>
                    </w:rPr>
                    <w:t>≤55dB（A）</w:t>
                  </w:r>
                </w:p>
              </w:tc>
            </w:tr>
          </w:tbl>
          <w:p>
            <w:pPr>
              <w:adjustRightInd w:val="0"/>
              <w:snapToGrid w:val="0"/>
              <w:spacing w:line="500" w:lineRule="exact"/>
              <w:ind w:firstLine="48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本项目主要噪声设备采取降噪措施，并经距离衰减后，厂界各预测点的昼夜间厂界噪声均可达到《工业企业厂界环境噪声排放标准》（GB12348-2008）中的3类昼间标准要求。</w:t>
            </w:r>
          </w:p>
          <w:p>
            <w:pPr>
              <w:adjustRightInd w:val="0"/>
              <w:snapToGrid w:val="0"/>
              <w:spacing w:line="500" w:lineRule="exact"/>
              <w:ind w:firstLine="480"/>
              <w:jc w:val="both"/>
              <w:rPr>
                <w:rFonts w:hint="default"/>
              </w:rPr>
            </w:pPr>
            <w:r>
              <w:rPr>
                <w:rFonts w:hint="default" w:ascii="Times New Roman" w:hAnsi="Times New Roman" w:eastAsia="宋体" w:cs="Times New Roman"/>
                <w:color w:val="auto"/>
                <w:sz w:val="24"/>
                <w:highlight w:val="none"/>
                <w:lang w:val="en-US" w:eastAsia="zh-CN"/>
              </w:rPr>
              <w:t>因此，本项目噪声排放对周围环境影响较小，噪声防治措施可行。</w:t>
            </w:r>
          </w:p>
          <w:p>
            <w:pPr>
              <w:adjustRightInd w:val="0"/>
              <w:snapToGrid w:val="0"/>
              <w:spacing w:line="500" w:lineRule="exact"/>
              <w:ind w:firstLine="482" w:firstLineChars="200"/>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）噪声监测计划</w:t>
            </w:r>
          </w:p>
          <w:p>
            <w:pPr>
              <w:adjustRightInd w:val="0"/>
              <w:snapToGrid w:val="0"/>
              <w:spacing w:line="500" w:lineRule="exact"/>
              <w:ind w:firstLine="48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根据《排污单位自行监测技术指南 总则》（HJ819-2017）5.4厂界环境噪声监测内容，最低监测频次为季度。</w:t>
            </w:r>
          </w:p>
          <w:p>
            <w:pPr>
              <w:adjustRightInd w:val="0"/>
              <w:snapToGrid w:val="0"/>
              <w:spacing w:line="500" w:lineRule="exact"/>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cs="Times New Roman"/>
                <w:b/>
                <w:color w:val="auto"/>
                <w:sz w:val="24"/>
                <w:highlight w:val="none"/>
                <w:lang w:val="en-US" w:eastAsia="zh-CN"/>
              </w:rPr>
              <w:t>7</w:t>
            </w:r>
            <w:r>
              <w:rPr>
                <w:rFonts w:hint="default" w:ascii="Times New Roman" w:hAnsi="Times New Roman" w:eastAsia="宋体" w:cs="Times New Roman"/>
                <w:b/>
                <w:color w:val="auto"/>
                <w:sz w:val="24"/>
                <w:highlight w:val="none"/>
              </w:rPr>
              <w:t xml:space="preserve">   厂界噪声监测计划表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0"/>
              <w:gridCol w:w="1526"/>
              <w:gridCol w:w="1681"/>
              <w:gridCol w:w="1221"/>
              <w:gridCol w:w="31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6" w:type="pct"/>
                  <w:noWrap w:val="0"/>
                  <w:vAlign w:val="center"/>
                </w:tcPr>
                <w:p>
                  <w:pPr>
                    <w:adjustRightInd w:val="0"/>
                    <w:snapToGrid w:val="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监测项目</w:t>
                  </w:r>
                </w:p>
              </w:tc>
              <w:tc>
                <w:tcPr>
                  <w:tcW w:w="866" w:type="pct"/>
                  <w:noWrap w:val="0"/>
                  <w:vAlign w:val="center"/>
                </w:tcPr>
                <w:p>
                  <w:pPr>
                    <w:adjustRightInd w:val="0"/>
                    <w:snapToGrid w:val="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监测位置</w:t>
                  </w:r>
                </w:p>
              </w:tc>
              <w:tc>
                <w:tcPr>
                  <w:tcW w:w="954" w:type="pct"/>
                  <w:noWrap w:val="0"/>
                  <w:vAlign w:val="center"/>
                </w:tcPr>
                <w:p>
                  <w:pPr>
                    <w:adjustRightInd w:val="0"/>
                    <w:snapToGrid w:val="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监测指标</w:t>
                  </w:r>
                </w:p>
              </w:tc>
              <w:tc>
                <w:tcPr>
                  <w:tcW w:w="693" w:type="pct"/>
                  <w:noWrap w:val="0"/>
                  <w:vAlign w:val="center"/>
                </w:tcPr>
                <w:p>
                  <w:pPr>
                    <w:adjustRightInd w:val="0"/>
                    <w:snapToGrid w:val="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监测频次</w:t>
                  </w:r>
                </w:p>
              </w:tc>
              <w:tc>
                <w:tcPr>
                  <w:tcW w:w="1810" w:type="pct"/>
                  <w:noWrap w:val="0"/>
                  <w:vAlign w:val="center"/>
                </w:tcPr>
                <w:p>
                  <w:pPr>
                    <w:adjustRightInd w:val="0"/>
                    <w:snapToGrid w:val="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6" w:type="pct"/>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厂界噪声</w:t>
                  </w:r>
                </w:p>
              </w:tc>
              <w:tc>
                <w:tcPr>
                  <w:tcW w:w="866"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东北、西北、西南厂界</w:t>
                  </w:r>
                </w:p>
              </w:tc>
              <w:tc>
                <w:tcPr>
                  <w:tcW w:w="954" w:type="pct"/>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昼间、夜间连续等效A声级</w:t>
                  </w:r>
                </w:p>
              </w:tc>
              <w:tc>
                <w:tcPr>
                  <w:tcW w:w="693" w:type="pct"/>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1次/季</w:t>
                  </w:r>
                </w:p>
              </w:tc>
              <w:tc>
                <w:tcPr>
                  <w:tcW w:w="1810" w:type="pct"/>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《工业企业厂界环境噪声排放标准》（GB12348-2008）</w:t>
                  </w:r>
                </w:p>
              </w:tc>
            </w:tr>
          </w:tbl>
          <w:p>
            <w:pPr>
              <w:adjustRightInd w:val="0"/>
              <w:snapToGrid w:val="0"/>
              <w:spacing w:line="500" w:lineRule="exact"/>
              <w:jc w:val="both"/>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4、固体废物</w:t>
            </w:r>
          </w:p>
          <w:p>
            <w:pPr>
              <w:adjustRightInd w:val="0"/>
              <w:snapToGrid w:val="0"/>
              <w:spacing w:line="500" w:lineRule="exact"/>
              <w:ind w:firstLine="405"/>
              <w:jc w:val="both"/>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（1）副产物种类判别</w:t>
            </w:r>
          </w:p>
          <w:p>
            <w:pPr>
              <w:adjustRightInd w:val="0"/>
              <w:snapToGrid w:val="0"/>
              <w:spacing w:line="500" w:lineRule="exact"/>
              <w:ind w:firstLine="405"/>
              <w:jc w:val="both"/>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pacing w:val="-10"/>
                <w:sz w:val="24"/>
                <w:szCs w:val="21"/>
                <w:highlight w:val="none"/>
              </w:rPr>
              <w:t>根据本项目生产工艺过程分析和公辅工程次生污染识别等过程，本项目产生的副产物有</w:t>
            </w:r>
            <w:r>
              <w:rPr>
                <w:rFonts w:hint="default" w:ascii="Times New Roman" w:hAnsi="Times New Roman" w:eastAsia="宋体" w:cs="Times New Roman"/>
                <w:bCs/>
                <w:color w:val="auto"/>
                <w:spacing w:val="-10"/>
                <w:sz w:val="24"/>
                <w:szCs w:val="21"/>
                <w:highlight w:val="none"/>
                <w:lang w:eastAsia="zh-CN"/>
              </w:rPr>
              <w:t>：</w:t>
            </w:r>
            <w:r>
              <w:rPr>
                <w:rFonts w:hint="eastAsia" w:cs="Times New Roman"/>
                <w:bCs/>
                <w:color w:val="auto"/>
                <w:spacing w:val="-10"/>
                <w:sz w:val="24"/>
                <w:szCs w:val="21"/>
                <w:highlight w:val="none"/>
                <w:lang w:val="en-US" w:eastAsia="zh-CN"/>
              </w:rPr>
              <w:t>废电解液、化学品容器、含油废抹布</w:t>
            </w:r>
            <w:r>
              <w:rPr>
                <w:rFonts w:hint="default" w:ascii="Times New Roman" w:hAnsi="Times New Roman" w:eastAsia="宋体" w:cs="Times New Roman"/>
                <w:bCs/>
                <w:color w:val="auto"/>
                <w:spacing w:val="-10"/>
                <w:sz w:val="24"/>
                <w:szCs w:val="21"/>
                <w:highlight w:val="none"/>
                <w:lang w:val="en-US" w:eastAsia="zh-CN"/>
              </w:rPr>
              <w:t>；</w:t>
            </w:r>
            <w:r>
              <w:rPr>
                <w:rFonts w:hint="eastAsia" w:cs="Times New Roman"/>
                <w:bCs/>
                <w:color w:val="auto"/>
                <w:spacing w:val="-10"/>
                <w:sz w:val="24"/>
                <w:szCs w:val="21"/>
                <w:highlight w:val="none"/>
                <w:lang w:val="en-US" w:eastAsia="zh-CN"/>
              </w:rPr>
              <w:t>污水</w:t>
            </w:r>
            <w:r>
              <w:rPr>
                <w:rFonts w:hint="default" w:ascii="Times New Roman" w:hAnsi="Times New Roman" w:eastAsia="宋体" w:cs="Times New Roman"/>
                <w:bCs/>
                <w:color w:val="auto"/>
                <w:spacing w:val="-10"/>
                <w:sz w:val="24"/>
                <w:szCs w:val="21"/>
                <w:highlight w:val="none"/>
                <w:lang w:val="en-US" w:eastAsia="zh-CN"/>
              </w:rPr>
              <w:t>处理站产生的</w:t>
            </w:r>
            <w:r>
              <w:rPr>
                <w:rFonts w:hint="eastAsia" w:cs="Times New Roman"/>
                <w:bCs/>
                <w:color w:val="auto"/>
                <w:spacing w:val="-10"/>
                <w:sz w:val="24"/>
                <w:szCs w:val="21"/>
                <w:highlight w:val="none"/>
                <w:lang w:val="en-US" w:eastAsia="zh-CN"/>
              </w:rPr>
              <w:t>浓缩废液、离心分离和超滤废液</w:t>
            </w:r>
            <w:r>
              <w:rPr>
                <w:rFonts w:hint="default" w:ascii="Times New Roman" w:hAnsi="Times New Roman" w:eastAsia="宋体" w:cs="Times New Roman"/>
                <w:bCs/>
                <w:color w:val="auto"/>
                <w:spacing w:val="-10"/>
                <w:sz w:val="24"/>
                <w:szCs w:val="21"/>
                <w:highlight w:val="none"/>
                <w:lang w:val="en-US" w:eastAsia="zh-CN"/>
              </w:rPr>
              <w:t>、污泥；员工生活产生的生活垃圾、食堂泔脚。</w:t>
            </w:r>
            <w:r>
              <w:rPr>
                <w:rFonts w:hint="eastAsia" w:cs="Times New Roman"/>
                <w:bCs/>
                <w:color w:val="auto"/>
                <w:spacing w:val="-10"/>
                <w:sz w:val="24"/>
                <w:szCs w:val="21"/>
                <w:highlight w:val="none"/>
                <w:lang w:val="en-US" w:eastAsia="zh-CN"/>
              </w:rPr>
              <w:t>以及新增淋浴废水处理设施后会产生废膜组件。</w:t>
            </w:r>
            <w:r>
              <w:rPr>
                <w:rFonts w:hint="default" w:ascii="Times New Roman" w:hAnsi="Times New Roman" w:eastAsia="宋体" w:cs="Times New Roman"/>
                <w:bCs/>
                <w:color w:val="auto"/>
                <w:spacing w:val="-10"/>
                <w:sz w:val="24"/>
                <w:szCs w:val="21"/>
                <w:highlight w:val="none"/>
              </w:rPr>
              <w:t>根据《固体废物鉴别标准 通则》（GB34330-2017）的规定，上述物质均属于固体废物。</w:t>
            </w:r>
          </w:p>
          <w:p>
            <w:pPr>
              <w:pStyle w:val="53"/>
              <w:numPr>
                <w:ilvl w:val="0"/>
                <w:numId w:val="14"/>
              </w:numPr>
              <w:adjustRightInd w:val="0"/>
              <w:snapToGrid w:val="0"/>
              <w:ind w:firstLineChars="0"/>
              <w:jc w:val="both"/>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固废源强计算</w:t>
            </w:r>
          </w:p>
          <w:p>
            <w:pPr>
              <w:snapToGrid w:val="0"/>
              <w:spacing w:line="500" w:lineRule="exact"/>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cs="Times New Roman"/>
                <w:b/>
                <w:color w:val="auto"/>
                <w:sz w:val="24"/>
                <w:highlight w:val="none"/>
                <w:lang w:val="en-US" w:eastAsia="zh-CN"/>
              </w:rPr>
              <w:t>8</w:t>
            </w:r>
            <w:r>
              <w:rPr>
                <w:rFonts w:hint="default" w:ascii="Times New Roman" w:hAnsi="Times New Roman" w:eastAsia="宋体" w:cs="Times New Roman"/>
                <w:b/>
                <w:color w:val="auto"/>
                <w:sz w:val="24"/>
                <w:highlight w:val="none"/>
              </w:rPr>
              <w:t xml:space="preserve">    本项目固废产生源强表</w:t>
            </w:r>
          </w:p>
          <w:tbl>
            <w:tblPr>
              <w:tblStyle w:val="22"/>
              <w:tblW w:w="880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53"/>
              <w:gridCol w:w="1371"/>
              <w:gridCol w:w="1822"/>
              <w:gridCol w:w="675"/>
              <w:gridCol w:w="809"/>
              <w:gridCol w:w="643"/>
              <w:gridCol w:w="27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53"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污染源</w:t>
                  </w:r>
                </w:p>
                <w:p>
                  <w:pPr>
                    <w:widowControl/>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编号</w:t>
                  </w:r>
                </w:p>
              </w:tc>
              <w:tc>
                <w:tcPr>
                  <w:tcW w:w="1371"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产生环节</w:t>
                  </w:r>
                </w:p>
              </w:tc>
              <w:tc>
                <w:tcPr>
                  <w:tcW w:w="1822"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副产物名称</w:t>
                  </w:r>
                </w:p>
              </w:tc>
              <w:tc>
                <w:tcPr>
                  <w:tcW w:w="675"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w:t>
                  </w:r>
                </w:p>
                <w:p>
                  <w:pPr>
                    <w:widowControl/>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特征</w:t>
                  </w:r>
                </w:p>
              </w:tc>
              <w:tc>
                <w:tcPr>
                  <w:tcW w:w="809"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产生量</w:t>
                  </w:r>
                </w:p>
                <w:p>
                  <w:pPr>
                    <w:widowControl/>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t/a</w:t>
                  </w:r>
                </w:p>
              </w:tc>
              <w:tc>
                <w:tcPr>
                  <w:tcW w:w="3373" w:type="dxa"/>
                  <w:gridSpan w:val="2"/>
                  <w:noWrap w:val="0"/>
                  <w:vAlign w:val="center"/>
                </w:tcPr>
                <w:p>
                  <w:pPr>
                    <w:widowControl/>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计算依据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53" w:type="dxa"/>
                  <w:noWrap w:val="0"/>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Cs w:val="21"/>
                      <w:highlight w:val="none"/>
                      <w:vertAlign w:val="baseline"/>
                      <w:lang w:val="en-US" w:eastAsia="zh-CN"/>
                    </w:rPr>
                    <w:t>S</w:t>
                  </w:r>
                  <w:r>
                    <w:rPr>
                      <w:rFonts w:hint="eastAsia" w:cs="Times New Roman"/>
                      <w:color w:val="auto"/>
                      <w:szCs w:val="21"/>
                      <w:highlight w:val="none"/>
                      <w:vertAlign w:val="subscript"/>
                      <w:lang w:val="en-US" w:eastAsia="zh-CN"/>
                    </w:rPr>
                    <w:t>1</w:t>
                  </w:r>
                </w:p>
              </w:tc>
              <w:tc>
                <w:tcPr>
                  <w:tcW w:w="1371" w:type="dxa"/>
                  <w:noWrap w:val="0"/>
                  <w:vAlign w:val="center"/>
                </w:tcPr>
                <w:p>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电化学腐蚀</w:t>
                  </w:r>
                </w:p>
              </w:tc>
              <w:tc>
                <w:tcPr>
                  <w:tcW w:w="1822" w:type="dxa"/>
                  <w:noWrap w:val="0"/>
                  <w:vAlign w:val="center"/>
                </w:tcPr>
                <w:p>
                  <w:pPr>
                    <w:autoSpaceDE w:val="0"/>
                    <w:autoSpaceDN w:val="0"/>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废电解液</w:t>
                  </w:r>
                </w:p>
              </w:tc>
              <w:tc>
                <w:tcPr>
                  <w:tcW w:w="675"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间断</w:t>
                  </w:r>
                </w:p>
              </w:tc>
              <w:tc>
                <w:tcPr>
                  <w:tcW w:w="809" w:type="dxa"/>
                  <w:noWrap w:val="0"/>
                  <w:vAlign w:val="center"/>
                </w:tcPr>
                <w:p>
                  <w:pPr>
                    <w:widowControl/>
                    <w:spacing w:line="240" w:lineRule="auto"/>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6.6</w:t>
                  </w:r>
                </w:p>
              </w:tc>
              <w:tc>
                <w:tcPr>
                  <w:tcW w:w="3373" w:type="dxa"/>
                  <w:gridSpan w:val="2"/>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物料平衡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53" w:type="dxa"/>
                  <w:vMerge w:val="restar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vertAlign w:val="baseline"/>
                      <w:lang w:val="en-US" w:eastAsia="zh-CN"/>
                    </w:rPr>
                    <w:t>S</w:t>
                  </w:r>
                  <w:r>
                    <w:rPr>
                      <w:rFonts w:hint="eastAsia" w:cs="Times New Roman"/>
                      <w:color w:val="auto"/>
                      <w:szCs w:val="21"/>
                      <w:highlight w:val="none"/>
                      <w:vertAlign w:val="subscript"/>
                      <w:lang w:val="en-US" w:eastAsia="zh-CN"/>
                    </w:rPr>
                    <w:t>2</w:t>
                  </w:r>
                </w:p>
              </w:tc>
              <w:tc>
                <w:tcPr>
                  <w:tcW w:w="1371" w:type="dxa"/>
                  <w:vMerge w:val="restart"/>
                  <w:noWrap w:val="0"/>
                  <w:vAlign w:val="center"/>
                </w:tcPr>
                <w:p>
                  <w:pPr>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Cs w:val="21"/>
                      <w:highlight w:val="none"/>
                      <w:lang w:val="en-US" w:eastAsia="zh-CN"/>
                    </w:rPr>
                    <w:t>原料使用</w:t>
                  </w:r>
                </w:p>
              </w:tc>
              <w:tc>
                <w:tcPr>
                  <w:tcW w:w="1822" w:type="dxa"/>
                  <w:vMerge w:val="restart"/>
                  <w:noWrap w:val="0"/>
                  <w:vAlign w:val="center"/>
                </w:tcPr>
                <w:p>
                  <w:pPr>
                    <w:autoSpaceDE w:val="0"/>
                    <w:autoSpaceDN w:val="0"/>
                    <w:adjustRightInd w:val="0"/>
                    <w:snapToGrid w:val="0"/>
                    <w:spacing w:line="0" w:lineRule="atLeast"/>
                    <w:jc w:val="center"/>
                    <w:rPr>
                      <w:rFonts w:hint="eastAsia"/>
                      <w:lang w:val="en-US" w:eastAsia="zh-CN"/>
                    </w:rPr>
                  </w:pPr>
                  <w:r>
                    <w:rPr>
                      <w:rFonts w:hint="eastAsia"/>
                      <w:lang w:val="en-US" w:eastAsia="zh-CN"/>
                    </w:rPr>
                    <w:t>化学品容器</w:t>
                  </w:r>
                </w:p>
              </w:tc>
              <w:tc>
                <w:tcPr>
                  <w:tcW w:w="675" w:type="dxa"/>
                  <w:vMerge w:val="restar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间断</w:t>
                  </w:r>
                </w:p>
              </w:tc>
              <w:tc>
                <w:tcPr>
                  <w:tcW w:w="809" w:type="dxa"/>
                  <w:vMerge w:val="restart"/>
                  <w:noWrap w:val="0"/>
                  <w:vAlign w:val="center"/>
                </w:tcPr>
                <w:p>
                  <w:pPr>
                    <w:widowControl/>
                    <w:spacing w:line="240" w:lineRule="auto"/>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0.31</w:t>
                  </w:r>
                </w:p>
              </w:tc>
              <w:tc>
                <w:tcPr>
                  <w:tcW w:w="643" w:type="dxa"/>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测试油</w:t>
                  </w:r>
                </w:p>
              </w:tc>
              <w:tc>
                <w:tcPr>
                  <w:tcW w:w="2730" w:type="dxa"/>
                  <w:noWrap w:val="0"/>
                  <w:vAlign w:val="center"/>
                </w:tcPr>
                <w:p>
                  <w:pPr>
                    <w:widowControl/>
                    <w:spacing w:line="240" w:lineRule="auto"/>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物料衡算：油类物质使用量2.5t/a，170公斤油桶装，约15桶，单只桶重量约17公斤，则废包装容器约0.255t/a，考虑沾染的矿物油，按0.26t/a计算。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53" w:type="dxa"/>
                  <w:vMerge w:val="continue"/>
                  <w:noWrap w:val="0"/>
                  <w:vAlign w:val="center"/>
                </w:tcPr>
                <w:p>
                  <w:pPr>
                    <w:widowControl/>
                    <w:spacing w:line="240" w:lineRule="auto"/>
                    <w:jc w:val="center"/>
                  </w:pPr>
                </w:p>
              </w:tc>
              <w:tc>
                <w:tcPr>
                  <w:tcW w:w="1371" w:type="dxa"/>
                  <w:vMerge w:val="continue"/>
                  <w:noWrap w:val="0"/>
                  <w:vAlign w:val="center"/>
                </w:tcPr>
                <w:p>
                  <w:pPr>
                    <w:widowControl/>
                    <w:spacing w:line="240" w:lineRule="auto"/>
                    <w:jc w:val="center"/>
                  </w:pPr>
                </w:p>
              </w:tc>
              <w:tc>
                <w:tcPr>
                  <w:tcW w:w="1822" w:type="dxa"/>
                  <w:vMerge w:val="continue"/>
                  <w:noWrap w:val="0"/>
                  <w:vAlign w:val="center"/>
                </w:tcPr>
                <w:p>
                  <w:pPr>
                    <w:widowControl/>
                    <w:spacing w:line="240" w:lineRule="auto"/>
                    <w:jc w:val="center"/>
                  </w:pPr>
                </w:p>
              </w:tc>
              <w:tc>
                <w:tcPr>
                  <w:tcW w:w="675" w:type="dxa"/>
                  <w:vMerge w:val="continue"/>
                  <w:noWrap w:val="0"/>
                  <w:vAlign w:val="center"/>
                </w:tcPr>
                <w:p>
                  <w:pPr>
                    <w:widowControl/>
                    <w:spacing w:line="240" w:lineRule="auto"/>
                    <w:jc w:val="center"/>
                  </w:pPr>
                </w:p>
              </w:tc>
              <w:tc>
                <w:tcPr>
                  <w:tcW w:w="809" w:type="dxa"/>
                  <w:vMerge w:val="continue"/>
                  <w:noWrap w:val="0"/>
                  <w:vAlign w:val="center"/>
                </w:tcPr>
                <w:p>
                  <w:pPr>
                    <w:widowControl/>
                    <w:spacing w:line="240" w:lineRule="auto"/>
                    <w:jc w:val="center"/>
                  </w:pPr>
                </w:p>
              </w:tc>
              <w:tc>
                <w:tcPr>
                  <w:tcW w:w="643" w:type="dxa"/>
                  <w:noWrap w:val="0"/>
                  <w:vAlign w:val="center"/>
                </w:tcPr>
                <w:p>
                  <w:pPr>
                    <w:widowControl/>
                    <w:spacing w:line="240" w:lineRule="auto"/>
                    <w:jc w:val="center"/>
                    <w:rPr>
                      <w:rFonts w:hint="default" w:eastAsia="宋体"/>
                      <w:lang w:val="en-US" w:eastAsia="zh-CN"/>
                    </w:rPr>
                  </w:pPr>
                  <w:r>
                    <w:rPr>
                      <w:rFonts w:hint="eastAsia"/>
                      <w:lang w:val="en-US" w:eastAsia="zh-CN"/>
                    </w:rPr>
                    <w:t>清洗液、硝酸</w:t>
                  </w:r>
                </w:p>
              </w:tc>
              <w:tc>
                <w:tcPr>
                  <w:tcW w:w="2730" w:type="dxa"/>
                  <w:noWrap w:val="0"/>
                  <w:vAlign w:val="center"/>
                </w:tcPr>
                <w:p>
                  <w:pPr>
                    <w:widowControl/>
                    <w:spacing w:line="240" w:lineRule="auto"/>
                    <w:jc w:val="center"/>
                    <w:rPr>
                      <w:rFonts w:hint="default" w:eastAsia="宋体"/>
                      <w:lang w:val="en-US" w:eastAsia="zh-CN"/>
                    </w:rPr>
                  </w:pPr>
                  <w:r>
                    <w:rPr>
                      <w:rFonts w:hint="eastAsia"/>
                      <w:lang w:val="en-US" w:eastAsia="zh-CN"/>
                    </w:rPr>
                    <w:t>物料衡算：清洗液、硝酸使用量分别为0.5t/a、0.1t/a，25公斤桶装，约24桶，单只桶重量约2公斤，则废包装容器约0.048t/a，考虑沾染的物料，按 0.05t/a计算。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53"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S</w:t>
                  </w:r>
                  <w:r>
                    <w:rPr>
                      <w:rFonts w:hint="eastAsia" w:cs="Times New Roman"/>
                      <w:color w:val="auto"/>
                      <w:sz w:val="22"/>
                      <w:szCs w:val="22"/>
                      <w:highlight w:val="none"/>
                      <w:vertAlign w:val="subscript"/>
                      <w:lang w:val="en-US" w:eastAsia="zh-CN"/>
                    </w:rPr>
                    <w:t>3</w:t>
                  </w:r>
                </w:p>
              </w:tc>
              <w:tc>
                <w:tcPr>
                  <w:tcW w:w="1371"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废水处理</w:t>
                  </w:r>
                </w:p>
              </w:tc>
              <w:tc>
                <w:tcPr>
                  <w:tcW w:w="1822" w:type="dxa"/>
                  <w:noWrap w:val="0"/>
                  <w:vAlign w:val="center"/>
                </w:tcPr>
                <w:p>
                  <w:pPr>
                    <w:autoSpaceDE w:val="0"/>
                    <w:autoSpaceDN w:val="0"/>
                    <w:adjustRightInd w:val="0"/>
                    <w:snapToGrid w:val="0"/>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浓缩废液</w:t>
                  </w:r>
                </w:p>
              </w:tc>
              <w:tc>
                <w:tcPr>
                  <w:tcW w:w="675"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间断</w:t>
                  </w:r>
                </w:p>
              </w:tc>
              <w:tc>
                <w:tcPr>
                  <w:tcW w:w="809" w:type="dxa"/>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116.44</w:t>
                  </w:r>
                </w:p>
              </w:tc>
              <w:tc>
                <w:tcPr>
                  <w:tcW w:w="3373" w:type="dxa"/>
                  <w:gridSpan w:val="2"/>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类比现有项目实际情况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53"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4</w:t>
                  </w:r>
                </w:p>
              </w:tc>
              <w:tc>
                <w:tcPr>
                  <w:tcW w:w="1371"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废水处理</w:t>
                  </w:r>
                </w:p>
              </w:tc>
              <w:tc>
                <w:tcPr>
                  <w:tcW w:w="1822" w:type="dxa"/>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离心分离和</w:t>
                  </w:r>
                </w:p>
                <w:p>
                  <w:pPr>
                    <w:autoSpaceDE w:val="0"/>
                    <w:autoSpaceDN w:val="0"/>
                    <w:adjustRightInd w:val="0"/>
                    <w:snapToGrid w:val="0"/>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超滤废液</w:t>
                  </w:r>
                </w:p>
              </w:tc>
              <w:tc>
                <w:tcPr>
                  <w:tcW w:w="675" w:type="dxa"/>
                  <w:noWrap w:val="0"/>
                  <w:vAlign w:val="center"/>
                </w:tcPr>
                <w:p>
                  <w:pPr>
                    <w:autoSpaceDE w:val="0"/>
                    <w:autoSpaceDN w:val="0"/>
                    <w:adjustRightInd w:val="0"/>
                    <w:snapToGrid w:val="0"/>
                    <w:spacing w:line="240" w:lineRule="auto"/>
                    <w:jc w:val="center"/>
                    <w:rPr>
                      <w:rFonts w:hint="eastAsia"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间断</w:t>
                  </w:r>
                </w:p>
              </w:tc>
              <w:tc>
                <w:tcPr>
                  <w:tcW w:w="809" w:type="dxa"/>
                  <w:noWrap w:val="0"/>
                  <w:vAlign w:val="center"/>
                </w:tcPr>
                <w:p>
                  <w:pPr>
                    <w:widowControl/>
                    <w:spacing w:line="240" w:lineRule="auto"/>
                    <w:jc w:val="center"/>
                    <w:rPr>
                      <w:rFonts w:hint="default"/>
                      <w:lang w:val="en-US" w:eastAsia="zh-CN"/>
                    </w:rPr>
                  </w:pPr>
                  <w:r>
                    <w:rPr>
                      <w:rFonts w:hint="eastAsia"/>
                      <w:lang w:val="en-US" w:eastAsia="zh-CN"/>
                    </w:rPr>
                    <w:t>271.76</w:t>
                  </w:r>
                </w:p>
              </w:tc>
              <w:tc>
                <w:tcPr>
                  <w:tcW w:w="3373" w:type="dxa"/>
                  <w:gridSpan w:val="2"/>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类比现有项目实际情况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53"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5</w:t>
                  </w:r>
                </w:p>
              </w:tc>
              <w:tc>
                <w:tcPr>
                  <w:tcW w:w="1371"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废水处理</w:t>
                  </w:r>
                </w:p>
              </w:tc>
              <w:tc>
                <w:tcPr>
                  <w:tcW w:w="1822" w:type="dxa"/>
                  <w:noWrap w:val="0"/>
                  <w:vAlign w:val="center"/>
                </w:tcPr>
                <w:p>
                  <w:pPr>
                    <w:autoSpaceDE w:val="0"/>
                    <w:autoSpaceDN w:val="0"/>
                    <w:adjustRightInd w:val="0"/>
                    <w:snapToGrid w:val="0"/>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rPr>
                    <w:t>污泥</w:t>
                  </w:r>
                </w:p>
              </w:tc>
              <w:tc>
                <w:tcPr>
                  <w:tcW w:w="675"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eastAsia" w:cs="Times New Roman"/>
                      <w:color w:val="auto"/>
                      <w:szCs w:val="21"/>
                      <w:highlight w:val="none"/>
                      <w:lang w:val="en-US" w:eastAsia="zh-CN"/>
                    </w:rPr>
                    <w:t>间断</w:t>
                  </w:r>
                </w:p>
              </w:tc>
              <w:tc>
                <w:tcPr>
                  <w:tcW w:w="809" w:type="dxa"/>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37.2</w:t>
                  </w:r>
                </w:p>
              </w:tc>
              <w:tc>
                <w:tcPr>
                  <w:tcW w:w="3373" w:type="dxa"/>
                  <w:gridSpan w:val="2"/>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类比现有项目实际情况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53"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6</w:t>
                  </w:r>
                </w:p>
              </w:tc>
              <w:tc>
                <w:tcPr>
                  <w:tcW w:w="1371" w:type="dxa"/>
                  <w:noWrap w:val="0"/>
                  <w:vAlign w:val="center"/>
                </w:tcPr>
                <w:p>
                  <w:pPr>
                    <w:adjustRightInd w:val="0"/>
                    <w:snapToGrid w:val="0"/>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电化学腐蚀</w:t>
                  </w:r>
                </w:p>
              </w:tc>
              <w:tc>
                <w:tcPr>
                  <w:tcW w:w="1822" w:type="dxa"/>
                  <w:noWrap w:val="0"/>
                  <w:vAlign w:val="center"/>
                </w:tcPr>
                <w:p>
                  <w:pPr>
                    <w:autoSpaceDE w:val="0"/>
                    <w:autoSpaceDN w:val="0"/>
                    <w:adjustRightInd w:val="0"/>
                    <w:snapToGrid w:val="0"/>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废过滤材料</w:t>
                  </w:r>
                </w:p>
              </w:tc>
              <w:tc>
                <w:tcPr>
                  <w:tcW w:w="675" w:type="dxa"/>
                  <w:noWrap w:val="0"/>
                  <w:vAlign w:val="center"/>
                </w:tcPr>
                <w:p>
                  <w:pPr>
                    <w:autoSpaceDE w:val="0"/>
                    <w:autoSpaceDN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间断</w:t>
                  </w:r>
                </w:p>
              </w:tc>
              <w:tc>
                <w:tcPr>
                  <w:tcW w:w="809" w:type="dxa"/>
                  <w:noWrap w:val="0"/>
                  <w:vAlign w:val="center"/>
                </w:tcPr>
                <w:p>
                  <w:pPr>
                    <w:widowControl/>
                    <w:spacing w:line="240" w:lineRule="auto"/>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w:t>
                  </w:r>
                </w:p>
              </w:tc>
              <w:tc>
                <w:tcPr>
                  <w:tcW w:w="3373" w:type="dxa"/>
                  <w:gridSpan w:val="2"/>
                  <w:noWrap w:val="0"/>
                  <w:vAlign w:val="center"/>
                </w:tcPr>
                <w:p>
                  <w:pPr>
                    <w:widowControl/>
                    <w:spacing w:line="240" w:lineRule="auto"/>
                    <w:jc w:val="center"/>
                    <w:rPr>
                      <w:rFonts w:hint="eastAsia"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类比现有项目实际情况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53"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7</w:t>
                  </w:r>
                </w:p>
              </w:tc>
              <w:tc>
                <w:tcPr>
                  <w:tcW w:w="1371" w:type="dxa"/>
                  <w:noWrap w:val="0"/>
                  <w:vAlign w:val="center"/>
                </w:tcPr>
                <w:p>
                  <w:pPr>
                    <w:adjustRightInd w:val="0"/>
                    <w:snapToGrid w:val="0"/>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自紧应力加工</w:t>
                  </w:r>
                </w:p>
              </w:tc>
              <w:tc>
                <w:tcPr>
                  <w:tcW w:w="1822" w:type="dxa"/>
                  <w:noWrap w:val="0"/>
                  <w:vAlign w:val="center"/>
                </w:tcPr>
                <w:p>
                  <w:pPr>
                    <w:autoSpaceDE w:val="0"/>
                    <w:autoSpaceDN w:val="0"/>
                    <w:adjustRightInd w:val="0"/>
                    <w:snapToGrid w:val="0"/>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含油废抹布</w:t>
                  </w:r>
                </w:p>
              </w:tc>
              <w:tc>
                <w:tcPr>
                  <w:tcW w:w="675" w:type="dxa"/>
                  <w:noWrap w:val="0"/>
                  <w:vAlign w:val="center"/>
                </w:tcPr>
                <w:p>
                  <w:pPr>
                    <w:autoSpaceDE w:val="0"/>
                    <w:autoSpaceDN w:val="0"/>
                    <w:adjustRightInd w:val="0"/>
                    <w:snapToGrid w:val="0"/>
                    <w:spacing w:line="0" w:lineRule="atLeast"/>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间断</w:t>
                  </w:r>
                </w:p>
              </w:tc>
              <w:tc>
                <w:tcPr>
                  <w:tcW w:w="809" w:type="dxa"/>
                  <w:noWrap w:val="0"/>
                  <w:vAlign w:val="center"/>
                </w:tcPr>
                <w:p>
                  <w:pPr>
                    <w:widowControl/>
                    <w:spacing w:line="240" w:lineRule="auto"/>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w:t>
                  </w:r>
                </w:p>
              </w:tc>
              <w:tc>
                <w:tcPr>
                  <w:tcW w:w="3373" w:type="dxa"/>
                  <w:gridSpan w:val="2"/>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类比现有项目实际情况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53"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8</w:t>
                  </w:r>
                </w:p>
              </w:tc>
              <w:tc>
                <w:tcPr>
                  <w:tcW w:w="1371"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员工生活</w:t>
                  </w:r>
                </w:p>
              </w:tc>
              <w:tc>
                <w:tcPr>
                  <w:tcW w:w="1822" w:type="dxa"/>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w:t>
                  </w:r>
                </w:p>
              </w:tc>
              <w:tc>
                <w:tcPr>
                  <w:tcW w:w="675"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w:t>
                  </w:r>
                </w:p>
              </w:tc>
              <w:tc>
                <w:tcPr>
                  <w:tcW w:w="809" w:type="dxa"/>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0.008</w:t>
                  </w:r>
                </w:p>
              </w:tc>
              <w:tc>
                <w:tcPr>
                  <w:tcW w:w="3373" w:type="dxa"/>
                  <w:gridSpan w:val="2"/>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系数法：人均产生量0.4kg/d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53"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9</w:t>
                  </w:r>
                </w:p>
              </w:tc>
              <w:tc>
                <w:tcPr>
                  <w:tcW w:w="1371"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员工生活</w:t>
                  </w:r>
                </w:p>
              </w:tc>
              <w:tc>
                <w:tcPr>
                  <w:tcW w:w="1822" w:type="dxa"/>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食堂泔脚</w:t>
                  </w:r>
                </w:p>
              </w:tc>
              <w:tc>
                <w:tcPr>
                  <w:tcW w:w="675"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w:t>
                  </w:r>
                </w:p>
              </w:tc>
              <w:tc>
                <w:tcPr>
                  <w:tcW w:w="809" w:type="dxa"/>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0.004</w:t>
                  </w:r>
                </w:p>
              </w:tc>
              <w:tc>
                <w:tcPr>
                  <w:tcW w:w="3373" w:type="dxa"/>
                  <w:gridSpan w:val="2"/>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系数法：人均产生量0.2kg/次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53" w:type="dxa"/>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10</w:t>
                  </w:r>
                </w:p>
              </w:tc>
              <w:tc>
                <w:tcPr>
                  <w:tcW w:w="1371" w:type="dxa"/>
                  <w:noWrap w:val="0"/>
                  <w:vAlign w:val="center"/>
                </w:tcPr>
                <w:p>
                  <w:pPr>
                    <w:adjustRightInd w:val="0"/>
                    <w:snapToGrid w:val="0"/>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淋浴废水</w:t>
                  </w:r>
                </w:p>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处理设施</w:t>
                  </w:r>
                </w:p>
              </w:tc>
              <w:tc>
                <w:tcPr>
                  <w:tcW w:w="1822" w:type="dxa"/>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废膜组件</w:t>
                  </w:r>
                </w:p>
              </w:tc>
              <w:tc>
                <w:tcPr>
                  <w:tcW w:w="675"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间断</w:t>
                  </w:r>
                </w:p>
              </w:tc>
              <w:tc>
                <w:tcPr>
                  <w:tcW w:w="809" w:type="dxa"/>
                  <w:noWrap w:val="0"/>
                  <w:vAlign w:val="center"/>
                </w:tcPr>
                <w:p>
                  <w:pPr>
                    <w:widowControl/>
                    <w:spacing w:line="240" w:lineRule="auto"/>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0.06</w:t>
                  </w:r>
                </w:p>
              </w:tc>
              <w:tc>
                <w:tcPr>
                  <w:tcW w:w="3373" w:type="dxa"/>
                  <w:gridSpan w:val="2"/>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超滤膜以60kg/支计，更换频次以一年一支计算</w:t>
                  </w:r>
                </w:p>
              </w:tc>
            </w:tr>
          </w:tbl>
          <w:p>
            <w:pPr>
              <w:pStyle w:val="53"/>
              <w:numPr>
                <w:ilvl w:val="0"/>
                <w:numId w:val="0"/>
              </w:numPr>
              <w:adjustRightInd w:val="0"/>
              <w:snapToGrid w:val="0"/>
              <w:ind w:left="405" w:leftChars="0"/>
              <w:jc w:val="both"/>
              <w:rPr>
                <w:rFonts w:hint="default" w:ascii="Times New Roman" w:hAnsi="Times New Roman" w:cs="Times New Roman"/>
                <w:b/>
                <w:bCs/>
                <w:color w:val="auto"/>
                <w:spacing w:val="-10"/>
                <w:sz w:val="24"/>
                <w:szCs w:val="21"/>
                <w:highlight w:val="none"/>
                <w:lang w:val="en-US" w:eastAsia="zh-CN"/>
              </w:rPr>
            </w:pPr>
            <w:r>
              <w:rPr>
                <w:rFonts w:hint="eastAsia" w:ascii="宋体" w:hAnsi="宋体" w:eastAsia="宋体" w:cs="宋体"/>
                <w:b/>
                <w:bCs/>
                <w:color w:val="auto"/>
                <w:spacing w:val="-10"/>
                <w:sz w:val="24"/>
                <w:szCs w:val="21"/>
                <w:highlight w:val="none"/>
                <w:lang w:val="en-US" w:eastAsia="zh-CN"/>
              </w:rPr>
              <w:t>※</w:t>
            </w:r>
            <w:r>
              <w:rPr>
                <w:rFonts w:hint="eastAsia" w:ascii="Times New Roman" w:hAnsi="Times New Roman" w:cs="Times New Roman"/>
                <w:b/>
                <w:bCs/>
                <w:color w:val="auto"/>
                <w:spacing w:val="-10"/>
                <w:sz w:val="24"/>
                <w:szCs w:val="21"/>
                <w:highlight w:val="none"/>
                <w:lang w:val="en-US" w:eastAsia="zh-CN"/>
              </w:rPr>
              <w:t>浓缩废液、离心分离和超滤废液、污泥核算说明：</w:t>
            </w:r>
          </w:p>
          <w:p>
            <w:pPr>
              <w:pStyle w:val="53"/>
              <w:keepNext w:val="0"/>
              <w:keepLines w:val="0"/>
              <w:pageBreakBefore w:val="0"/>
              <w:widowControl/>
              <w:numPr>
                <w:ilvl w:val="0"/>
                <w:numId w:val="0"/>
              </w:numPr>
              <w:kinsoku/>
              <w:wordWrap/>
              <w:overflowPunct/>
              <w:topLinePunct w:val="0"/>
              <w:autoSpaceDE/>
              <w:autoSpaceDN/>
              <w:bidi w:val="0"/>
              <w:adjustRightInd w:val="0"/>
              <w:snapToGrid w:val="0"/>
              <w:ind w:left="0" w:leftChars="0" w:firstLine="480" w:firstLineChars="200"/>
              <w:jc w:val="left"/>
              <w:textAlignment w:val="auto"/>
              <w:rPr>
                <w:rFonts w:hint="default" w:ascii="Times New Roman" w:hAnsi="Times New Roman" w:eastAsia="宋体" w:cs="Times New Roman"/>
                <w:b/>
                <w:bCs/>
                <w:color w:val="auto"/>
                <w:spacing w:val="-10"/>
                <w:sz w:val="24"/>
                <w:szCs w:val="21"/>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由于水平衡变更后，新增</w:t>
            </w:r>
            <w:r>
              <w:rPr>
                <w:rFonts w:hint="default" w:ascii="Times New Roman" w:hAnsi="Times New Roman" w:eastAsia="宋体" w:cs="Times New Roman"/>
                <w:color w:val="auto"/>
                <w:sz w:val="24"/>
                <w:szCs w:val="24"/>
                <w:highlight w:val="none"/>
                <w:lang w:val="en-US" w:eastAsia="zh-CN"/>
              </w:rPr>
              <w:t>进入污水处理站的水量为</w:t>
            </w:r>
            <w:r>
              <w:rPr>
                <w:rFonts w:hint="eastAsia" w:ascii="Times New Roman" w:hAnsi="Times New Roman" w:eastAsia="宋体" w:cs="Times New Roman"/>
                <w:color w:val="auto"/>
                <w:sz w:val="24"/>
                <w:szCs w:val="24"/>
                <w:highlight w:val="none"/>
                <w:lang w:val="en-US" w:eastAsia="zh-CN"/>
              </w:rPr>
              <w:t>7550.4</w:t>
            </w:r>
            <w:r>
              <w:rPr>
                <w:rFonts w:hint="default" w:ascii="Times New Roman" w:hAnsi="Times New Roman" w:eastAsia="宋体" w:cs="Times New Roman"/>
                <w:color w:val="auto"/>
                <w:sz w:val="24"/>
                <w:szCs w:val="24"/>
                <w:highlight w:val="none"/>
                <w:lang w:val="en-US" w:eastAsia="zh-CN"/>
              </w:rPr>
              <w:t>t/a。污水处理站处理后产生的清水、污水站废液、污泥根据现有项目的情况</w:t>
            </w:r>
            <w:r>
              <w:rPr>
                <w:rFonts w:hint="eastAsia" w:ascii="Times New Roman" w:hAnsi="Times New Roman" w:eastAsia="宋体" w:cs="Times New Roman"/>
                <w:color w:val="auto"/>
                <w:sz w:val="24"/>
                <w:szCs w:val="24"/>
                <w:highlight w:val="none"/>
                <w:lang w:val="en-US" w:eastAsia="zh-CN"/>
              </w:rPr>
              <w:t>类比增加，</w:t>
            </w:r>
            <w:r>
              <w:rPr>
                <w:rFonts w:hint="default" w:ascii="Times New Roman" w:hAnsi="Times New Roman" w:eastAsia="宋体" w:cs="Times New Roman"/>
                <w:color w:val="auto"/>
                <w:sz w:val="24"/>
                <w:szCs w:val="24"/>
                <w:highlight w:val="none"/>
                <w:lang w:val="en-US" w:eastAsia="zh-CN"/>
              </w:rPr>
              <w:t>污水站废液</w:t>
            </w:r>
            <w:r>
              <w:rPr>
                <w:rFonts w:hint="eastAsia" w:ascii="Times New Roman" w:hAnsi="Times New Roman" w:eastAsia="宋体" w:cs="Times New Roman"/>
                <w:color w:val="auto"/>
                <w:sz w:val="24"/>
                <w:szCs w:val="24"/>
                <w:highlight w:val="none"/>
                <w:lang w:val="en-US" w:eastAsia="zh-CN"/>
              </w:rPr>
              <w:t>新增388.2</w:t>
            </w:r>
            <w:r>
              <w:rPr>
                <w:rFonts w:hint="default" w:ascii="Times New Roman" w:hAnsi="Times New Roman" w:eastAsia="宋体" w:cs="Times New Roman"/>
                <w:color w:val="auto"/>
                <w:sz w:val="24"/>
                <w:szCs w:val="24"/>
                <w:highlight w:val="none"/>
                <w:lang w:val="en-US" w:eastAsia="zh-CN"/>
              </w:rPr>
              <w:t>t/a（浓缩废液</w:t>
            </w:r>
            <w:r>
              <w:rPr>
                <w:rFonts w:hint="eastAsia" w:ascii="Times New Roman" w:hAnsi="Times New Roman" w:eastAsia="宋体" w:cs="Times New Roman"/>
                <w:color w:val="auto"/>
                <w:sz w:val="24"/>
                <w:szCs w:val="24"/>
                <w:highlight w:val="none"/>
                <w:lang w:val="en-US" w:eastAsia="zh-CN"/>
              </w:rPr>
              <w:t>155.32</w:t>
            </w:r>
            <w:r>
              <w:rPr>
                <w:rFonts w:hint="default" w:ascii="Times New Roman" w:hAnsi="Times New Roman" w:eastAsia="宋体" w:cs="Times New Roman"/>
                <w:color w:val="auto"/>
                <w:sz w:val="24"/>
                <w:szCs w:val="24"/>
                <w:highlight w:val="none"/>
                <w:lang w:val="en-US" w:eastAsia="zh-CN"/>
              </w:rPr>
              <w:t>t/a、离心分离和超滤废液</w:t>
            </w:r>
            <w:r>
              <w:rPr>
                <w:rFonts w:hint="eastAsia" w:ascii="Times New Roman" w:hAnsi="Times New Roman" w:eastAsia="宋体" w:cs="Times New Roman"/>
                <w:color w:val="auto"/>
                <w:sz w:val="24"/>
                <w:szCs w:val="24"/>
                <w:highlight w:val="none"/>
                <w:lang w:val="en-US" w:eastAsia="zh-CN"/>
              </w:rPr>
              <w:t>232.88</w:t>
            </w:r>
            <w:r>
              <w:rPr>
                <w:rFonts w:hint="default" w:ascii="Times New Roman" w:hAnsi="Times New Roman" w:eastAsia="宋体" w:cs="Times New Roman"/>
                <w:color w:val="auto"/>
                <w:sz w:val="24"/>
                <w:szCs w:val="24"/>
                <w:highlight w:val="none"/>
                <w:lang w:val="en-US" w:eastAsia="zh-CN"/>
              </w:rPr>
              <w:t>t/a）、污泥</w:t>
            </w:r>
            <w:r>
              <w:rPr>
                <w:rFonts w:hint="eastAsia" w:ascii="Times New Roman" w:hAnsi="Times New Roman" w:eastAsia="宋体" w:cs="Times New Roman"/>
                <w:color w:val="auto"/>
                <w:sz w:val="24"/>
                <w:szCs w:val="24"/>
                <w:highlight w:val="none"/>
                <w:lang w:val="en-US" w:eastAsia="zh-CN"/>
              </w:rPr>
              <w:t>新增37.2</w:t>
            </w:r>
            <w:r>
              <w:rPr>
                <w:rFonts w:hint="default" w:ascii="Times New Roman" w:hAnsi="Times New Roman" w:eastAsia="宋体" w:cs="Times New Roman"/>
                <w:color w:val="auto"/>
                <w:sz w:val="24"/>
                <w:szCs w:val="24"/>
                <w:highlight w:val="none"/>
                <w:lang w:val="en-US" w:eastAsia="zh-CN"/>
              </w:rPr>
              <w:t>t/a。</w:t>
            </w:r>
          </w:p>
          <w:p>
            <w:pPr>
              <w:pStyle w:val="53"/>
              <w:numPr>
                <w:ilvl w:val="0"/>
                <w:numId w:val="14"/>
              </w:numPr>
              <w:adjustRightInd w:val="0"/>
              <w:snapToGrid w:val="0"/>
              <w:ind w:firstLineChars="0"/>
              <w:jc w:val="both"/>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固废属性识别及处理处置情况汇总</w:t>
            </w:r>
          </w:p>
          <w:p>
            <w:pPr>
              <w:adjustRightInd w:val="0"/>
              <w:snapToGrid w:val="0"/>
              <w:spacing w:line="500" w:lineRule="exact"/>
              <w:ind w:firstLine="440" w:firstLineChars="200"/>
              <w:jc w:val="both"/>
              <w:rPr>
                <w:rFonts w:hint="default" w:ascii="Times New Roman" w:hAnsi="Times New Roman" w:eastAsia="宋体" w:cs="Times New Roman"/>
                <w:bCs/>
                <w:color w:val="auto"/>
                <w:spacing w:val="-10"/>
                <w:sz w:val="24"/>
                <w:szCs w:val="21"/>
                <w:highlight w:val="none"/>
              </w:rPr>
            </w:pPr>
            <w:r>
              <w:rPr>
                <w:rFonts w:hint="default" w:ascii="Times New Roman" w:hAnsi="Times New Roman" w:eastAsia="宋体" w:cs="Times New Roman"/>
                <w:bCs/>
                <w:color w:val="auto"/>
                <w:spacing w:val="-10"/>
                <w:sz w:val="24"/>
                <w:szCs w:val="21"/>
                <w:highlight w:val="none"/>
              </w:rPr>
              <w:t>根据《国家危险废物名录（2021版）》以及《危险废物鉴别标准》，本项目固废属性如下：</w:t>
            </w:r>
          </w:p>
          <w:p>
            <w:pPr>
              <w:pStyle w:val="2"/>
              <w:rPr>
                <w:rFonts w:hint="default" w:ascii="Times New Roman" w:hAnsi="Times New Roman" w:eastAsia="宋体" w:cs="Times New Roman"/>
                <w:bCs/>
                <w:color w:val="auto"/>
                <w:spacing w:val="-10"/>
                <w:sz w:val="24"/>
                <w:szCs w:val="21"/>
                <w:highlight w:val="none"/>
              </w:rPr>
            </w:pPr>
          </w:p>
          <w:p>
            <w:pPr>
              <w:pStyle w:val="3"/>
              <w:numPr>
                <w:ilvl w:val="-1"/>
                <w:numId w:val="0"/>
              </w:numPr>
              <w:ind w:left="1680" w:firstLine="0"/>
              <w:rPr>
                <w:rFonts w:hint="default"/>
              </w:rPr>
            </w:pPr>
          </w:p>
          <w:p>
            <w:pPr>
              <w:adjustRightInd w:val="0"/>
              <w:snapToGrid w:val="0"/>
              <w:spacing w:line="500" w:lineRule="exact"/>
              <w:jc w:val="center"/>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表4-</w:t>
            </w:r>
            <w:r>
              <w:rPr>
                <w:rFonts w:hint="eastAsia" w:cs="Times New Roman"/>
                <w:b/>
                <w:bCs/>
                <w:color w:val="auto"/>
                <w:spacing w:val="-10"/>
                <w:sz w:val="24"/>
                <w:szCs w:val="21"/>
                <w:highlight w:val="none"/>
                <w:lang w:val="en-US" w:eastAsia="zh-CN"/>
              </w:rPr>
              <w:t>9</w:t>
            </w:r>
            <w:r>
              <w:rPr>
                <w:rFonts w:hint="default" w:ascii="Times New Roman" w:hAnsi="Times New Roman" w:eastAsia="宋体" w:cs="Times New Roman"/>
                <w:b/>
                <w:bCs/>
                <w:color w:val="auto"/>
                <w:spacing w:val="-10"/>
                <w:sz w:val="24"/>
                <w:szCs w:val="21"/>
                <w:highlight w:val="none"/>
              </w:rPr>
              <w:t xml:space="preserve">    本项目固体废物属性及处理处置情况表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503"/>
              <w:gridCol w:w="1097"/>
              <w:gridCol w:w="1130"/>
              <w:gridCol w:w="663"/>
              <w:gridCol w:w="769"/>
              <w:gridCol w:w="365"/>
              <w:gridCol w:w="335"/>
              <w:gridCol w:w="593"/>
              <w:gridCol w:w="1134"/>
              <w:gridCol w:w="365"/>
              <w:gridCol w:w="619"/>
              <w:gridCol w:w="619"/>
              <w:gridCol w:w="6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70" w:hRule="atLeast"/>
              </w:trPr>
              <w:tc>
                <w:tcPr>
                  <w:tcW w:w="285" w:type="pct"/>
                  <w:vMerge w:val="restart"/>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编号</w:t>
                  </w:r>
                </w:p>
              </w:tc>
              <w:tc>
                <w:tcPr>
                  <w:tcW w:w="622" w:type="pct"/>
                  <w:vMerge w:val="restart"/>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装置</w:t>
                  </w:r>
                </w:p>
              </w:tc>
              <w:tc>
                <w:tcPr>
                  <w:tcW w:w="641" w:type="pct"/>
                  <w:vMerge w:val="restar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固体废</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物名称</w:t>
                  </w:r>
                </w:p>
              </w:tc>
              <w:tc>
                <w:tcPr>
                  <w:tcW w:w="376" w:type="pct"/>
                  <w:vMerge w:val="restar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主要有</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害物质</w:t>
                  </w:r>
                </w:p>
              </w:tc>
              <w:tc>
                <w:tcPr>
                  <w:tcW w:w="436" w:type="pct"/>
                  <w:vMerge w:val="restart"/>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物理性质</w:t>
                  </w:r>
                </w:p>
              </w:tc>
              <w:tc>
                <w:tcPr>
                  <w:tcW w:w="207" w:type="pct"/>
                  <w:vMerge w:val="restar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危险</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特性</w:t>
                  </w:r>
                </w:p>
              </w:tc>
              <w:tc>
                <w:tcPr>
                  <w:tcW w:w="190" w:type="pct"/>
                  <w:vMerge w:val="restar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固废</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属性</w:t>
                  </w:r>
                </w:p>
              </w:tc>
              <w:tc>
                <w:tcPr>
                  <w:tcW w:w="336" w:type="pct"/>
                  <w:vMerge w:val="restart"/>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固废类别</w:t>
                  </w:r>
                </w:p>
              </w:tc>
              <w:tc>
                <w:tcPr>
                  <w:tcW w:w="643" w:type="pct"/>
                  <w:vMerge w:val="restart"/>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固废代码</w:t>
                  </w:r>
                </w:p>
              </w:tc>
              <w:tc>
                <w:tcPr>
                  <w:tcW w:w="558" w:type="pct"/>
                  <w:gridSpan w:val="2"/>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产生情况</w:t>
                  </w:r>
                </w:p>
              </w:tc>
              <w:tc>
                <w:tcPr>
                  <w:tcW w:w="351" w:type="pct"/>
                  <w:vMerge w:val="restar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综合</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利用</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量</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（t/a）</w:t>
                  </w:r>
                </w:p>
              </w:tc>
              <w:tc>
                <w:tcPr>
                  <w:tcW w:w="348" w:type="pct"/>
                  <w:vMerge w:val="restar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处理</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处置量</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70" w:hRule="atLeast"/>
              </w:trPr>
              <w:tc>
                <w:tcPr>
                  <w:tcW w:w="285"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p>
              </w:tc>
              <w:tc>
                <w:tcPr>
                  <w:tcW w:w="622"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p>
              </w:tc>
              <w:tc>
                <w:tcPr>
                  <w:tcW w:w="641"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p>
              </w:tc>
              <w:tc>
                <w:tcPr>
                  <w:tcW w:w="376"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p>
              </w:tc>
              <w:tc>
                <w:tcPr>
                  <w:tcW w:w="436"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p>
              </w:tc>
              <w:tc>
                <w:tcPr>
                  <w:tcW w:w="207"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p>
              </w:tc>
              <w:tc>
                <w:tcPr>
                  <w:tcW w:w="190"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p>
              </w:tc>
              <w:tc>
                <w:tcPr>
                  <w:tcW w:w="336"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p>
              </w:tc>
              <w:tc>
                <w:tcPr>
                  <w:tcW w:w="643"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p>
              </w:tc>
              <w:tc>
                <w:tcPr>
                  <w:tcW w:w="207" w:type="pc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核算方法</w:t>
                  </w:r>
                </w:p>
              </w:tc>
              <w:tc>
                <w:tcPr>
                  <w:tcW w:w="351" w:type="pct"/>
                  <w:noWrap w:val="0"/>
                  <w:vAlign w:val="center"/>
                </w:tcPr>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产生量</w:t>
                  </w:r>
                </w:p>
                <w:p>
                  <w:pPr>
                    <w:adjustRightInd w:val="0"/>
                    <w:snapToGrid w:val="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pacing w:val="-10"/>
                      <w:sz w:val="21"/>
                      <w:szCs w:val="21"/>
                      <w:highlight w:val="none"/>
                    </w:rPr>
                    <w:t>（t/a）</w:t>
                  </w:r>
                </w:p>
              </w:tc>
              <w:tc>
                <w:tcPr>
                  <w:tcW w:w="351"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p>
              </w:tc>
              <w:tc>
                <w:tcPr>
                  <w:tcW w:w="348"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b/>
                      <w:bCs/>
                      <w:color w:val="auto"/>
                      <w:spacing w:val="-1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285"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vertAlign w:val="baseline"/>
                      <w:lang w:val="en-US" w:eastAsia="zh-CN"/>
                    </w:rPr>
                    <w:t>S</w:t>
                  </w:r>
                  <w:r>
                    <w:rPr>
                      <w:rFonts w:hint="eastAsia" w:cs="Times New Roman"/>
                      <w:color w:val="auto"/>
                      <w:szCs w:val="21"/>
                      <w:highlight w:val="none"/>
                      <w:vertAlign w:val="subscript"/>
                      <w:lang w:val="en-US" w:eastAsia="zh-CN"/>
                    </w:rPr>
                    <w:t>1</w:t>
                  </w:r>
                </w:p>
              </w:tc>
              <w:tc>
                <w:tcPr>
                  <w:tcW w:w="622" w:type="pct"/>
                  <w:noWrap w:val="0"/>
                  <w:vAlign w:val="center"/>
                </w:tcPr>
                <w:p>
                  <w:pPr>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电化学腐蚀</w:t>
                  </w:r>
                </w:p>
              </w:tc>
              <w:tc>
                <w:tcPr>
                  <w:tcW w:w="641" w:type="pct"/>
                  <w:noWrap w:val="0"/>
                  <w:vAlign w:val="center"/>
                </w:tcPr>
                <w:p>
                  <w:pPr>
                    <w:autoSpaceDE w:val="0"/>
                    <w:autoSpaceDN w:val="0"/>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废电解液</w:t>
                  </w:r>
                </w:p>
              </w:tc>
              <w:tc>
                <w:tcPr>
                  <w:tcW w:w="376" w:type="pct"/>
                  <w:noWrap w:val="0"/>
                  <w:vAlign w:val="center"/>
                </w:tcPr>
                <w:p>
                  <w:pPr>
                    <w:adjustRightInd w:val="0"/>
                    <w:snapToGrid w:val="0"/>
                    <w:spacing w:before="100" w:beforeAutospacing="1" w:after="100" w:afterAutospacing="1"/>
                    <w:jc w:val="center"/>
                    <w:rPr>
                      <w:rFonts w:hint="default"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硝酸</w:t>
                  </w:r>
                </w:p>
              </w:tc>
              <w:tc>
                <w:tcPr>
                  <w:tcW w:w="436" w:type="pct"/>
                  <w:noWrap w:val="0"/>
                  <w:vAlign w:val="center"/>
                </w:tcPr>
                <w:p>
                  <w:pPr>
                    <w:adjustRightInd w:val="0"/>
                    <w:snapToGrid w:val="0"/>
                    <w:spacing w:before="100" w:beforeAutospacing="1" w:after="100" w:afterAutospacing="1"/>
                    <w:jc w:val="center"/>
                    <w:rPr>
                      <w:rFonts w:hint="eastAsia"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液态</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T/C</w:t>
                  </w:r>
                </w:p>
              </w:tc>
              <w:tc>
                <w:tcPr>
                  <w:tcW w:w="190" w:type="pct"/>
                  <w:vMerge w:val="restar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危险废物</w:t>
                  </w:r>
                </w:p>
              </w:tc>
              <w:tc>
                <w:tcPr>
                  <w:tcW w:w="336"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HW17</w:t>
                  </w:r>
                </w:p>
              </w:tc>
              <w:tc>
                <w:tcPr>
                  <w:tcW w:w="643"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336-064-17</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物料平衡</w:t>
                  </w:r>
                </w:p>
              </w:tc>
              <w:tc>
                <w:tcPr>
                  <w:tcW w:w="351" w:type="pct"/>
                  <w:noWrap w:val="0"/>
                  <w:vAlign w:val="center"/>
                </w:tcPr>
                <w:p>
                  <w:pPr>
                    <w:widowControl/>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6.6</w:t>
                  </w:r>
                </w:p>
              </w:tc>
              <w:tc>
                <w:tcPr>
                  <w:tcW w:w="351" w:type="pct"/>
                  <w:noWrap w:val="0"/>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348" w:type="pct"/>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285"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vertAlign w:val="subscript"/>
                      <w:lang w:val="en-US" w:eastAsia="zh-CN"/>
                    </w:rPr>
                  </w:pPr>
                  <w:r>
                    <w:rPr>
                      <w:rFonts w:hint="eastAsia" w:cs="Times New Roman"/>
                      <w:color w:val="auto"/>
                      <w:szCs w:val="21"/>
                      <w:highlight w:val="none"/>
                      <w:vertAlign w:val="baseline"/>
                      <w:lang w:val="en-US" w:eastAsia="zh-CN"/>
                    </w:rPr>
                    <w:t>S</w:t>
                  </w:r>
                  <w:r>
                    <w:rPr>
                      <w:rFonts w:hint="eastAsia" w:cs="Times New Roman"/>
                      <w:color w:val="auto"/>
                      <w:szCs w:val="21"/>
                      <w:highlight w:val="none"/>
                      <w:vertAlign w:val="subscript"/>
                      <w:lang w:val="en-US" w:eastAsia="zh-CN"/>
                    </w:rPr>
                    <w:t>2</w:t>
                  </w:r>
                </w:p>
              </w:tc>
              <w:tc>
                <w:tcPr>
                  <w:tcW w:w="622"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eastAsia" w:cs="Times New Roman"/>
                      <w:color w:val="auto"/>
                      <w:szCs w:val="21"/>
                      <w:highlight w:val="none"/>
                      <w:lang w:val="en-US" w:eastAsia="zh-CN"/>
                    </w:rPr>
                    <w:t>原料使用</w:t>
                  </w:r>
                </w:p>
              </w:tc>
              <w:tc>
                <w:tcPr>
                  <w:tcW w:w="641"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eastAsia"/>
                      <w:lang w:val="en-US" w:eastAsia="zh-CN"/>
                    </w:rPr>
                    <w:t>化学品容器</w:t>
                  </w:r>
                </w:p>
              </w:tc>
              <w:tc>
                <w:tcPr>
                  <w:tcW w:w="37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硝酸、矿物油</w:t>
                  </w:r>
                </w:p>
              </w:tc>
              <w:tc>
                <w:tcPr>
                  <w:tcW w:w="43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rPr>
                    <w:t>固态</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T，I</w:t>
                  </w:r>
                </w:p>
              </w:tc>
              <w:tc>
                <w:tcPr>
                  <w:tcW w:w="190"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p>
              </w:tc>
              <w:tc>
                <w:tcPr>
                  <w:tcW w:w="3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HW</w:t>
                  </w:r>
                  <w:r>
                    <w:rPr>
                      <w:rFonts w:hint="eastAsia" w:cs="Times New Roman"/>
                      <w:color w:val="auto"/>
                      <w:szCs w:val="21"/>
                      <w:highlight w:val="none"/>
                      <w:lang w:val="en-US" w:eastAsia="zh-CN"/>
                    </w:rPr>
                    <w:t>49</w:t>
                  </w:r>
                </w:p>
              </w:tc>
              <w:tc>
                <w:tcPr>
                  <w:tcW w:w="6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900-</w:t>
                  </w:r>
                  <w:r>
                    <w:rPr>
                      <w:rFonts w:hint="eastAsia" w:cs="Times New Roman"/>
                      <w:color w:val="auto"/>
                      <w:szCs w:val="21"/>
                      <w:highlight w:val="none"/>
                      <w:lang w:val="en-US" w:eastAsia="zh-CN"/>
                    </w:rPr>
                    <w:t>041-49</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类比法</w:t>
                  </w:r>
                </w:p>
              </w:tc>
              <w:tc>
                <w:tcPr>
                  <w:tcW w:w="351" w:type="pct"/>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0.31</w:t>
                  </w:r>
                </w:p>
              </w:tc>
              <w:tc>
                <w:tcPr>
                  <w:tcW w:w="351" w:type="pct"/>
                  <w:noWrap w:val="0"/>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348" w:type="pct"/>
                  <w:noWrap w:val="0"/>
                  <w:vAlign w:val="center"/>
                </w:tcPr>
                <w:p>
                  <w:pPr>
                    <w:widowControl/>
                    <w:jc w:val="center"/>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0.31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285"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eastAsia" w:cs="Times New Roman"/>
                      <w:color w:val="auto"/>
                      <w:szCs w:val="21"/>
                      <w:highlight w:val="none"/>
                      <w:lang w:val="en-US" w:eastAsia="zh-CN"/>
                    </w:rPr>
                    <w:t>S</w:t>
                  </w:r>
                  <w:r>
                    <w:rPr>
                      <w:rFonts w:hint="eastAsia" w:cs="Times New Roman"/>
                      <w:color w:val="auto"/>
                      <w:sz w:val="22"/>
                      <w:szCs w:val="22"/>
                      <w:highlight w:val="none"/>
                      <w:vertAlign w:val="subscript"/>
                      <w:lang w:val="en-US" w:eastAsia="zh-CN"/>
                    </w:rPr>
                    <w:t>3</w:t>
                  </w:r>
                </w:p>
              </w:tc>
              <w:tc>
                <w:tcPr>
                  <w:tcW w:w="622"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废水处理</w:t>
                  </w:r>
                </w:p>
              </w:tc>
              <w:tc>
                <w:tcPr>
                  <w:tcW w:w="641"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浓缩废液</w:t>
                  </w:r>
                </w:p>
              </w:tc>
              <w:tc>
                <w:tcPr>
                  <w:tcW w:w="376" w:type="pct"/>
                  <w:noWrap w:val="0"/>
                  <w:vAlign w:val="center"/>
                </w:tcPr>
                <w:p>
                  <w:pPr>
                    <w:adjustRightInd w:val="0"/>
                    <w:snapToGrid w:val="0"/>
                    <w:spacing w:before="100" w:beforeAutospacing="1" w:after="100" w:afterAutospacing="1"/>
                    <w:jc w:val="center"/>
                    <w:rPr>
                      <w:rFonts w:hint="eastAsia"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石油类</w:t>
                  </w:r>
                </w:p>
              </w:tc>
              <w:tc>
                <w:tcPr>
                  <w:tcW w:w="43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液态</w:t>
                  </w:r>
                </w:p>
              </w:tc>
              <w:tc>
                <w:tcPr>
                  <w:tcW w:w="207" w:type="pc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T</w:t>
                  </w:r>
                </w:p>
              </w:tc>
              <w:tc>
                <w:tcPr>
                  <w:tcW w:w="190"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3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HW09</w:t>
                  </w:r>
                </w:p>
              </w:tc>
              <w:tc>
                <w:tcPr>
                  <w:tcW w:w="6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900-007-09</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lang w:val="en-US" w:eastAsia="zh-CN"/>
                    </w:rPr>
                    <w:t>类比法</w:t>
                  </w:r>
                </w:p>
              </w:tc>
              <w:tc>
                <w:tcPr>
                  <w:tcW w:w="351" w:type="pct"/>
                  <w:noWrap w:val="0"/>
                  <w:vAlign w:val="center"/>
                </w:tcPr>
                <w:p>
                  <w:pPr>
                    <w:widowControl/>
                    <w:jc w:val="center"/>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155.32</w:t>
                  </w:r>
                </w:p>
              </w:tc>
              <w:tc>
                <w:tcPr>
                  <w:tcW w:w="351" w:type="pct"/>
                  <w:noWrap w:val="0"/>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w:t>
                  </w:r>
                </w:p>
              </w:tc>
              <w:tc>
                <w:tcPr>
                  <w:tcW w:w="348" w:type="pct"/>
                  <w:noWrap w:val="0"/>
                  <w:vAlign w:val="center"/>
                </w:tcPr>
                <w:p>
                  <w:pPr>
                    <w:widowControl/>
                    <w:jc w:val="center"/>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155.32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285"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4</w:t>
                  </w:r>
                </w:p>
              </w:tc>
              <w:tc>
                <w:tcPr>
                  <w:tcW w:w="622" w:type="pct"/>
                  <w:noWrap w:val="0"/>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废水处理</w:t>
                  </w:r>
                </w:p>
              </w:tc>
              <w:tc>
                <w:tcPr>
                  <w:tcW w:w="641" w:type="pct"/>
                  <w:noWrap w:val="0"/>
                  <w:vAlign w:val="center"/>
                </w:tcPr>
                <w:p>
                  <w:pPr>
                    <w:autoSpaceDE w:val="0"/>
                    <w:autoSpaceDN w:val="0"/>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离心分离和超滤废液</w:t>
                  </w:r>
                </w:p>
              </w:tc>
              <w:tc>
                <w:tcPr>
                  <w:tcW w:w="376" w:type="pct"/>
                  <w:noWrap w:val="0"/>
                  <w:vAlign w:val="center"/>
                </w:tcPr>
                <w:p>
                  <w:pPr>
                    <w:adjustRightInd w:val="0"/>
                    <w:snapToGrid w:val="0"/>
                    <w:spacing w:before="100" w:beforeAutospacing="1" w:after="100" w:afterAutospacing="1"/>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sz w:val="21"/>
                      <w:szCs w:val="21"/>
                      <w:highlight w:val="none"/>
                      <w:lang w:val="en-US" w:eastAsia="zh-CN"/>
                    </w:rPr>
                    <w:t>石油类</w:t>
                  </w:r>
                </w:p>
              </w:tc>
              <w:tc>
                <w:tcPr>
                  <w:tcW w:w="43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eastAsia="宋体" w:cs="Times New Roman"/>
                      <w:color w:val="auto"/>
                      <w:spacing w:val="-10"/>
                      <w:sz w:val="21"/>
                      <w:szCs w:val="21"/>
                      <w:highlight w:val="none"/>
                      <w:lang w:val="en-US" w:eastAsia="zh-CN"/>
                    </w:rPr>
                    <w:t>液态</w:t>
                  </w:r>
                </w:p>
              </w:tc>
              <w:tc>
                <w:tcPr>
                  <w:tcW w:w="207" w:type="pct"/>
                  <w:noWrap w:val="0"/>
                  <w:vAlign w:val="center"/>
                </w:tcPr>
                <w:p>
                  <w:pPr>
                    <w:adjustRightInd w:val="0"/>
                    <w:snapToGrid w:val="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eastAsia="宋体" w:cs="Times New Roman"/>
                      <w:color w:val="auto"/>
                      <w:spacing w:val="-10"/>
                      <w:sz w:val="21"/>
                      <w:szCs w:val="21"/>
                      <w:highlight w:val="none"/>
                    </w:rPr>
                    <w:t>T</w:t>
                  </w:r>
                </w:p>
              </w:tc>
              <w:tc>
                <w:tcPr>
                  <w:tcW w:w="190" w:type="pct"/>
                  <w:vMerge w:val="continue"/>
                  <w:noWrap w:val="0"/>
                  <w:vAlign w:val="center"/>
                </w:tcPr>
                <w:p>
                  <w:pPr>
                    <w:adjustRightInd w:val="0"/>
                    <w:snapToGrid w:val="0"/>
                    <w:jc w:val="center"/>
                    <w:rPr>
                      <w:rFonts w:hint="default" w:ascii="Times New Roman" w:hAnsi="Times New Roman" w:eastAsia="宋体" w:cs="Times New Roman"/>
                      <w:color w:val="auto"/>
                      <w:spacing w:val="-10"/>
                      <w:kern w:val="2"/>
                      <w:sz w:val="21"/>
                      <w:szCs w:val="21"/>
                      <w:highlight w:val="none"/>
                      <w:lang w:val="en-US" w:eastAsia="zh-CN" w:bidi="ar-SA"/>
                    </w:rPr>
                  </w:pPr>
                </w:p>
              </w:tc>
              <w:tc>
                <w:tcPr>
                  <w:tcW w:w="336"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HW09</w:t>
                  </w:r>
                </w:p>
              </w:tc>
              <w:tc>
                <w:tcPr>
                  <w:tcW w:w="64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900-007-09</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eastAsia="宋体" w:cs="Times New Roman"/>
                      <w:color w:val="auto"/>
                      <w:spacing w:val="-10"/>
                      <w:sz w:val="21"/>
                      <w:szCs w:val="21"/>
                      <w:highlight w:val="none"/>
                      <w:lang w:val="en-US" w:eastAsia="zh-CN"/>
                    </w:rPr>
                    <w:t>类比法</w:t>
                  </w:r>
                </w:p>
              </w:tc>
              <w:tc>
                <w:tcPr>
                  <w:tcW w:w="351" w:type="pct"/>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232.88</w:t>
                  </w:r>
                </w:p>
              </w:tc>
              <w:tc>
                <w:tcPr>
                  <w:tcW w:w="351" w:type="pct"/>
                  <w:noWrap w:val="0"/>
                  <w:vAlign w:val="center"/>
                </w:tcPr>
                <w:p>
                  <w:pPr>
                    <w:widowControl/>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w:t>
                  </w:r>
                </w:p>
              </w:tc>
              <w:tc>
                <w:tcPr>
                  <w:tcW w:w="348" w:type="pct"/>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232.88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285"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5</w:t>
                  </w:r>
                </w:p>
              </w:tc>
              <w:tc>
                <w:tcPr>
                  <w:tcW w:w="622"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废水处理</w:t>
                  </w:r>
                </w:p>
              </w:tc>
              <w:tc>
                <w:tcPr>
                  <w:tcW w:w="641"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污泥</w:t>
                  </w:r>
                </w:p>
              </w:tc>
              <w:tc>
                <w:tcPr>
                  <w:tcW w:w="37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石油类、有机物</w:t>
                  </w:r>
                </w:p>
              </w:tc>
              <w:tc>
                <w:tcPr>
                  <w:tcW w:w="43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固态</w:t>
                  </w:r>
                </w:p>
              </w:tc>
              <w:tc>
                <w:tcPr>
                  <w:tcW w:w="207" w:type="pc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T/C</w:t>
                  </w:r>
                </w:p>
              </w:tc>
              <w:tc>
                <w:tcPr>
                  <w:tcW w:w="190" w:type="pct"/>
                  <w:vMerge w:val="continue"/>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p>
              </w:tc>
              <w:tc>
                <w:tcPr>
                  <w:tcW w:w="3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HW17</w:t>
                  </w:r>
                </w:p>
              </w:tc>
              <w:tc>
                <w:tcPr>
                  <w:tcW w:w="6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336-064-17</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lang w:val="en-US" w:eastAsia="zh-CN"/>
                    </w:rPr>
                    <w:t>类比法</w:t>
                  </w:r>
                </w:p>
              </w:tc>
              <w:tc>
                <w:tcPr>
                  <w:tcW w:w="351" w:type="pct"/>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37.2</w:t>
                  </w:r>
                </w:p>
              </w:tc>
              <w:tc>
                <w:tcPr>
                  <w:tcW w:w="351" w:type="pct"/>
                  <w:noWrap w:val="0"/>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348" w:type="pct"/>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285"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6</w:t>
                  </w:r>
                </w:p>
              </w:tc>
              <w:tc>
                <w:tcPr>
                  <w:tcW w:w="622"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电化学腐蚀</w:t>
                  </w:r>
                </w:p>
              </w:tc>
              <w:tc>
                <w:tcPr>
                  <w:tcW w:w="641"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eastAsia" w:cs="Times New Roman"/>
                      <w:color w:val="auto"/>
                      <w:szCs w:val="21"/>
                      <w:highlight w:val="none"/>
                      <w:lang w:val="en-US" w:eastAsia="zh-CN"/>
                    </w:rPr>
                    <w:t>废过滤材料</w:t>
                  </w:r>
                </w:p>
              </w:tc>
              <w:tc>
                <w:tcPr>
                  <w:tcW w:w="376" w:type="pct"/>
                  <w:noWrap w:val="0"/>
                  <w:vAlign w:val="center"/>
                </w:tcPr>
                <w:p>
                  <w:pPr>
                    <w:adjustRightInd w:val="0"/>
                    <w:snapToGrid w:val="0"/>
                    <w:spacing w:before="100" w:beforeAutospacing="1" w:after="100" w:afterAutospacing="1"/>
                    <w:jc w:val="center"/>
                    <w:rPr>
                      <w:rFonts w:hint="default"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四氧化三铁</w:t>
                  </w:r>
                </w:p>
              </w:tc>
              <w:tc>
                <w:tcPr>
                  <w:tcW w:w="436" w:type="pct"/>
                  <w:noWrap w:val="0"/>
                  <w:vAlign w:val="center"/>
                </w:tcPr>
                <w:p>
                  <w:pPr>
                    <w:adjustRightInd w:val="0"/>
                    <w:snapToGrid w:val="0"/>
                    <w:spacing w:before="100" w:beforeAutospacing="1" w:after="100" w:afterAutospacing="1"/>
                    <w:jc w:val="center"/>
                    <w:rPr>
                      <w:rFonts w:hint="eastAsia"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rPr>
                    <w:t>固态</w:t>
                  </w:r>
                </w:p>
              </w:tc>
              <w:tc>
                <w:tcPr>
                  <w:tcW w:w="207" w:type="pct"/>
                  <w:noWrap w:val="0"/>
                  <w:vAlign w:val="center"/>
                </w:tcPr>
                <w:p>
                  <w:pPr>
                    <w:adjustRightInd w:val="0"/>
                    <w:snapToGrid w:val="0"/>
                    <w:jc w:val="center"/>
                    <w:rPr>
                      <w:rFonts w:hint="default"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T</w:t>
                  </w:r>
                </w:p>
              </w:tc>
              <w:tc>
                <w:tcPr>
                  <w:tcW w:w="190" w:type="pct"/>
                  <w:vMerge w:val="continue"/>
                  <w:noWrap w:val="0"/>
                  <w:vAlign w:val="center"/>
                </w:tcPr>
                <w:p>
                  <w:pPr>
                    <w:adjustRightInd w:val="0"/>
                    <w:snapToGrid w:val="0"/>
                    <w:spacing w:before="100" w:beforeAutospacing="1" w:after="100" w:afterAutospacing="1"/>
                    <w:jc w:val="center"/>
                    <w:rPr>
                      <w:rFonts w:hint="eastAsia" w:ascii="Times New Roman" w:hAnsi="Times New Roman" w:eastAsia="宋体" w:cs="Times New Roman"/>
                      <w:color w:val="auto"/>
                      <w:spacing w:val="-10"/>
                      <w:sz w:val="21"/>
                      <w:szCs w:val="21"/>
                      <w:highlight w:val="none"/>
                      <w:lang w:val="en-US" w:eastAsia="zh-CN"/>
                    </w:rPr>
                  </w:pPr>
                </w:p>
              </w:tc>
              <w:tc>
                <w:tcPr>
                  <w:tcW w:w="336"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val="0"/>
                      <w:bCs w:val="0"/>
                      <w:color w:val="auto"/>
                      <w:szCs w:val="21"/>
                      <w:highlight w:val="none"/>
                    </w:rPr>
                    <w:t>HW49</w:t>
                  </w:r>
                </w:p>
              </w:tc>
              <w:tc>
                <w:tcPr>
                  <w:tcW w:w="64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val="0"/>
                      <w:bCs w:val="0"/>
                      <w:color w:val="auto"/>
                      <w:szCs w:val="21"/>
                      <w:highlight w:val="none"/>
                    </w:rPr>
                    <w:t>900-039-49</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类比法</w:t>
                  </w:r>
                </w:p>
              </w:tc>
              <w:tc>
                <w:tcPr>
                  <w:tcW w:w="351" w:type="pct"/>
                  <w:noWrap w:val="0"/>
                  <w:vAlign w:val="center"/>
                </w:tcPr>
                <w:p>
                  <w:pPr>
                    <w:widowControl/>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w:t>
                  </w:r>
                </w:p>
              </w:tc>
              <w:tc>
                <w:tcPr>
                  <w:tcW w:w="351" w:type="pct"/>
                  <w:noWrap w:val="0"/>
                  <w:vAlign w:val="center"/>
                </w:tcPr>
                <w:p>
                  <w:pPr>
                    <w:widowControl/>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348" w:type="pct"/>
                  <w:noWrap w:val="0"/>
                  <w:vAlign w:val="center"/>
                </w:tcPr>
                <w:p>
                  <w:pPr>
                    <w:widowControl/>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285"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7</w:t>
                  </w:r>
                </w:p>
              </w:tc>
              <w:tc>
                <w:tcPr>
                  <w:tcW w:w="622"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自紧应力加工</w:t>
                  </w:r>
                </w:p>
              </w:tc>
              <w:tc>
                <w:tcPr>
                  <w:tcW w:w="641"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含油废抹布</w:t>
                  </w:r>
                </w:p>
              </w:tc>
              <w:tc>
                <w:tcPr>
                  <w:tcW w:w="37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矿物油</w:t>
                  </w:r>
                </w:p>
              </w:tc>
              <w:tc>
                <w:tcPr>
                  <w:tcW w:w="43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固态</w:t>
                  </w:r>
                </w:p>
              </w:tc>
              <w:tc>
                <w:tcPr>
                  <w:tcW w:w="207" w:type="pct"/>
                  <w:noWrap w:val="0"/>
                  <w:vAlign w:val="center"/>
                </w:tcPr>
                <w:p>
                  <w:pPr>
                    <w:adjustRightInd w:val="0"/>
                    <w:snapToGrid w:val="0"/>
                    <w:spacing w:before="100" w:beforeAutospacing="1" w:after="100" w:afterAutospacing="1"/>
                    <w:jc w:val="center"/>
                    <w:rPr>
                      <w:rFonts w:hint="eastAsia"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T</w:t>
                  </w:r>
                </w:p>
              </w:tc>
              <w:tc>
                <w:tcPr>
                  <w:tcW w:w="190" w:type="pct"/>
                  <w:vMerge w:val="continue"/>
                  <w:noWrap w:val="0"/>
                  <w:vAlign w:val="center"/>
                </w:tcPr>
                <w:p>
                  <w:pPr>
                    <w:adjustRightInd w:val="0"/>
                    <w:snapToGrid w:val="0"/>
                    <w:spacing w:before="100" w:beforeAutospacing="1" w:after="100" w:afterAutospacing="1"/>
                    <w:jc w:val="center"/>
                    <w:rPr>
                      <w:rFonts w:hint="eastAsia" w:ascii="Times New Roman" w:hAnsi="Times New Roman" w:cs="Times New Roman"/>
                      <w:color w:val="auto"/>
                      <w:spacing w:val="-10"/>
                      <w:sz w:val="21"/>
                      <w:szCs w:val="21"/>
                      <w:highlight w:val="none"/>
                      <w:lang w:val="en-US" w:eastAsia="zh-CN"/>
                    </w:rPr>
                  </w:pPr>
                </w:p>
              </w:tc>
              <w:tc>
                <w:tcPr>
                  <w:tcW w:w="336" w:type="pct"/>
                  <w:noWrap w:val="0"/>
                  <w:vAlign w:val="center"/>
                </w:tcPr>
                <w:p>
                  <w:pPr>
                    <w:adjustRightInd w:val="0"/>
                    <w:snapToGrid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HW49</w:t>
                  </w:r>
                </w:p>
              </w:tc>
              <w:tc>
                <w:tcPr>
                  <w:tcW w:w="6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900-041-49</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类比法</w:t>
                  </w:r>
                </w:p>
              </w:tc>
              <w:tc>
                <w:tcPr>
                  <w:tcW w:w="351" w:type="pct"/>
                  <w:noWrap w:val="0"/>
                  <w:vAlign w:val="center"/>
                </w:tcPr>
                <w:p>
                  <w:pPr>
                    <w:widowControl/>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w:t>
                  </w:r>
                </w:p>
              </w:tc>
              <w:tc>
                <w:tcPr>
                  <w:tcW w:w="351" w:type="pct"/>
                  <w:noWrap w:val="0"/>
                  <w:vAlign w:val="center"/>
                </w:tcPr>
                <w:p>
                  <w:pPr>
                    <w:widowControl/>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348" w:type="pct"/>
                  <w:noWrap w:val="0"/>
                  <w:vAlign w:val="center"/>
                </w:tcPr>
                <w:p>
                  <w:pPr>
                    <w:widowControl/>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285"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8</w:t>
                  </w:r>
                </w:p>
              </w:tc>
              <w:tc>
                <w:tcPr>
                  <w:tcW w:w="622"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员工生活</w:t>
                  </w:r>
                </w:p>
              </w:tc>
              <w:tc>
                <w:tcPr>
                  <w:tcW w:w="641"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生活垃圾</w:t>
                  </w:r>
                </w:p>
              </w:tc>
              <w:tc>
                <w:tcPr>
                  <w:tcW w:w="37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w:t>
                  </w:r>
                </w:p>
              </w:tc>
              <w:tc>
                <w:tcPr>
                  <w:tcW w:w="43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固态</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w:t>
                  </w:r>
                </w:p>
              </w:tc>
              <w:tc>
                <w:tcPr>
                  <w:tcW w:w="190" w:type="pct"/>
                  <w:vMerge w:val="restar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r>
                    <w:rPr>
                      <w:rFonts w:hint="eastAsia" w:ascii="Times New Roman" w:hAnsi="Times New Roman" w:cs="Times New Roman"/>
                      <w:color w:val="auto"/>
                      <w:spacing w:val="-10"/>
                      <w:sz w:val="21"/>
                      <w:szCs w:val="21"/>
                      <w:highlight w:val="none"/>
                      <w:lang w:val="en-US" w:eastAsia="zh-CN"/>
                    </w:rPr>
                    <w:t>一般固废</w:t>
                  </w:r>
                </w:p>
              </w:tc>
              <w:tc>
                <w:tcPr>
                  <w:tcW w:w="336" w:type="pct"/>
                  <w:noWrap w:val="0"/>
                  <w:vAlign w:val="center"/>
                </w:tcPr>
                <w:p>
                  <w:pPr>
                    <w:adjustRightInd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w:t>
                  </w:r>
                </w:p>
              </w:tc>
              <w:tc>
                <w:tcPr>
                  <w:tcW w:w="6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900-999-99</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系数法</w:t>
                  </w:r>
                </w:p>
              </w:tc>
              <w:tc>
                <w:tcPr>
                  <w:tcW w:w="351" w:type="pct"/>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0.008</w:t>
                  </w:r>
                </w:p>
              </w:tc>
              <w:tc>
                <w:tcPr>
                  <w:tcW w:w="351" w:type="pct"/>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0.008</w:t>
                  </w:r>
                </w:p>
              </w:tc>
              <w:tc>
                <w:tcPr>
                  <w:tcW w:w="348" w:type="pct"/>
                  <w:noWrap w:val="0"/>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285"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S</w:t>
                  </w:r>
                  <w:r>
                    <w:rPr>
                      <w:rFonts w:hint="eastAsia" w:cs="Times New Roman"/>
                      <w:color w:val="auto"/>
                      <w:szCs w:val="21"/>
                      <w:highlight w:val="none"/>
                      <w:vertAlign w:val="subscript"/>
                      <w:lang w:val="en-US" w:eastAsia="zh-CN"/>
                    </w:rPr>
                    <w:t>9</w:t>
                  </w:r>
                </w:p>
              </w:tc>
              <w:tc>
                <w:tcPr>
                  <w:tcW w:w="622"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员工生活</w:t>
                  </w:r>
                </w:p>
              </w:tc>
              <w:tc>
                <w:tcPr>
                  <w:tcW w:w="641"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食堂泔脚</w:t>
                  </w:r>
                </w:p>
              </w:tc>
              <w:tc>
                <w:tcPr>
                  <w:tcW w:w="37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sz w:val="21"/>
                      <w:szCs w:val="21"/>
                      <w:highlight w:val="none"/>
                    </w:rPr>
                    <w:t>/</w:t>
                  </w:r>
                </w:p>
              </w:tc>
              <w:tc>
                <w:tcPr>
                  <w:tcW w:w="43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固态</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w:t>
                  </w:r>
                </w:p>
              </w:tc>
              <w:tc>
                <w:tcPr>
                  <w:tcW w:w="190"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p>
              </w:tc>
              <w:tc>
                <w:tcPr>
                  <w:tcW w:w="336" w:type="pct"/>
                  <w:noWrap w:val="0"/>
                  <w:vAlign w:val="center"/>
                </w:tcPr>
                <w:p>
                  <w:pPr>
                    <w:adjustRightInd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w:t>
                  </w:r>
                </w:p>
              </w:tc>
              <w:tc>
                <w:tcPr>
                  <w:tcW w:w="6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900-999-99</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系数法</w:t>
                  </w:r>
                </w:p>
              </w:tc>
              <w:tc>
                <w:tcPr>
                  <w:tcW w:w="351" w:type="pct"/>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0.004</w:t>
                  </w:r>
                </w:p>
              </w:tc>
              <w:tc>
                <w:tcPr>
                  <w:tcW w:w="351" w:type="pct"/>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0.004</w:t>
                  </w:r>
                </w:p>
              </w:tc>
              <w:tc>
                <w:tcPr>
                  <w:tcW w:w="348" w:type="pct"/>
                  <w:noWrap w:val="0"/>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285" w:type="pct"/>
                  <w:noWrap w:val="0"/>
                  <w:vAlign w:val="center"/>
                </w:tcPr>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S</w:t>
                  </w:r>
                  <w:r>
                    <w:rPr>
                      <w:rFonts w:hint="eastAsia" w:cs="Times New Roman"/>
                      <w:color w:val="auto"/>
                      <w:szCs w:val="21"/>
                      <w:highlight w:val="none"/>
                      <w:vertAlign w:val="subscript"/>
                      <w:lang w:val="en-US" w:eastAsia="zh-CN"/>
                    </w:rPr>
                    <w:t>10</w:t>
                  </w:r>
                </w:p>
              </w:tc>
              <w:tc>
                <w:tcPr>
                  <w:tcW w:w="622" w:type="pct"/>
                  <w:noWrap w:val="0"/>
                  <w:vAlign w:val="center"/>
                </w:tcPr>
                <w:p>
                  <w:pPr>
                    <w:adjustRightInd w:val="0"/>
                    <w:snapToGrid w:val="0"/>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淋浴废水</w:t>
                  </w:r>
                </w:p>
                <w:p>
                  <w:pPr>
                    <w:adjustRightInd w:val="0"/>
                    <w:snapToGrid w:val="0"/>
                    <w:spacing w:line="0" w:lineRule="atLeast"/>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处理设施</w:t>
                  </w:r>
                </w:p>
              </w:tc>
              <w:tc>
                <w:tcPr>
                  <w:tcW w:w="641"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废膜组件</w:t>
                  </w:r>
                </w:p>
              </w:tc>
              <w:tc>
                <w:tcPr>
                  <w:tcW w:w="37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r>
                    <w:rPr>
                      <w:rFonts w:hint="eastAsia" w:cs="Times New Roman"/>
                      <w:color w:val="auto"/>
                      <w:spacing w:val="-10"/>
                      <w:sz w:val="21"/>
                      <w:szCs w:val="21"/>
                      <w:highlight w:val="none"/>
                      <w:lang w:val="en-US" w:eastAsia="zh-CN"/>
                    </w:rPr>
                    <w:t>/</w:t>
                  </w:r>
                </w:p>
              </w:tc>
              <w:tc>
                <w:tcPr>
                  <w:tcW w:w="436"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r>
                    <w:rPr>
                      <w:rFonts w:hint="eastAsia" w:cs="Times New Roman"/>
                      <w:color w:val="auto"/>
                      <w:spacing w:val="-10"/>
                      <w:sz w:val="21"/>
                      <w:szCs w:val="21"/>
                      <w:highlight w:val="none"/>
                      <w:lang w:val="en-US" w:eastAsia="zh-CN"/>
                    </w:rPr>
                    <w:t>固态</w:t>
                  </w:r>
                </w:p>
              </w:tc>
              <w:tc>
                <w:tcPr>
                  <w:tcW w:w="207" w:type="pct"/>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eastAsia" w:cs="Times New Roman"/>
                      <w:color w:val="auto"/>
                      <w:spacing w:val="-10"/>
                      <w:sz w:val="21"/>
                      <w:szCs w:val="21"/>
                      <w:highlight w:val="none"/>
                      <w:lang w:val="en-US" w:eastAsia="zh-CN"/>
                    </w:rPr>
                    <w:t>/</w:t>
                  </w:r>
                </w:p>
              </w:tc>
              <w:tc>
                <w:tcPr>
                  <w:tcW w:w="190" w:type="pct"/>
                  <w:vMerge w:val="continue"/>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p>
              </w:tc>
              <w:tc>
                <w:tcPr>
                  <w:tcW w:w="336" w:type="pct"/>
                  <w:noWrap w:val="0"/>
                  <w:vAlign w:val="center"/>
                </w:tcPr>
                <w:p>
                  <w:pPr>
                    <w:adjustRightInd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w:t>
                  </w:r>
                </w:p>
              </w:tc>
              <w:tc>
                <w:tcPr>
                  <w:tcW w:w="643"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900-999-99</w:t>
                  </w:r>
                </w:p>
              </w:tc>
              <w:tc>
                <w:tcPr>
                  <w:tcW w:w="207"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类比法</w:t>
                  </w:r>
                </w:p>
              </w:tc>
              <w:tc>
                <w:tcPr>
                  <w:tcW w:w="351" w:type="pct"/>
                  <w:noWrap w:val="0"/>
                  <w:vAlign w:val="center"/>
                </w:tcPr>
                <w:p>
                  <w:pPr>
                    <w:widowControl/>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0.06</w:t>
                  </w:r>
                </w:p>
              </w:tc>
              <w:tc>
                <w:tcPr>
                  <w:tcW w:w="351" w:type="pct"/>
                  <w:noWrap w:val="0"/>
                  <w:vAlign w:val="center"/>
                </w:tcPr>
                <w:p>
                  <w:pPr>
                    <w:widowControl/>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0.06</w:t>
                  </w:r>
                </w:p>
              </w:tc>
              <w:tc>
                <w:tcPr>
                  <w:tcW w:w="348" w:type="pct"/>
                  <w:noWrap w:val="0"/>
                  <w:vAlign w:val="center"/>
                </w:tcPr>
                <w:p>
                  <w:pPr>
                    <w:widowControl/>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bl>
          <w:p>
            <w:pPr>
              <w:pStyle w:val="65"/>
              <w:adjustRightInd w:val="0"/>
              <w:snapToGrid w:val="0"/>
              <w:spacing w:line="440" w:lineRule="exact"/>
              <w:ind w:firstLine="0" w:firstLineChars="0"/>
              <w:jc w:val="center"/>
              <w:rPr>
                <w:rFonts w:hint="default" w:ascii="Times New Roman" w:hAnsi="Times New Roman" w:eastAsia="宋体" w:cs="Times New Roman"/>
                <w:b/>
                <w:snapToGrid w:val="0"/>
                <w:color w:val="auto"/>
                <w:kern w:val="0"/>
                <w:sz w:val="24"/>
                <w:szCs w:val="28"/>
                <w:highlight w:val="none"/>
              </w:rPr>
            </w:pPr>
            <w:r>
              <w:rPr>
                <w:rFonts w:hint="default" w:ascii="Times New Roman" w:hAnsi="Times New Roman" w:eastAsia="宋体" w:cs="Times New Roman"/>
                <w:b/>
                <w:snapToGrid w:val="0"/>
                <w:color w:val="auto"/>
                <w:kern w:val="0"/>
                <w:sz w:val="24"/>
                <w:szCs w:val="28"/>
                <w:highlight w:val="none"/>
              </w:rPr>
              <w:t>表4-</w:t>
            </w:r>
            <w:r>
              <w:rPr>
                <w:rFonts w:hint="default" w:ascii="Times New Roman" w:hAnsi="Times New Roman" w:eastAsia="宋体" w:cs="Times New Roman"/>
                <w:b/>
                <w:snapToGrid w:val="0"/>
                <w:color w:val="auto"/>
                <w:kern w:val="0"/>
                <w:sz w:val="24"/>
                <w:szCs w:val="28"/>
                <w:highlight w:val="none"/>
                <w:lang w:val="en-US" w:eastAsia="zh-CN"/>
              </w:rPr>
              <w:t>1</w:t>
            </w:r>
            <w:r>
              <w:rPr>
                <w:rFonts w:hint="eastAsia" w:cs="Times New Roman"/>
                <w:b/>
                <w:snapToGrid w:val="0"/>
                <w:color w:val="auto"/>
                <w:kern w:val="0"/>
                <w:sz w:val="24"/>
                <w:szCs w:val="28"/>
                <w:highlight w:val="none"/>
                <w:lang w:val="en-US" w:eastAsia="zh-CN"/>
              </w:rPr>
              <w:t>0</w:t>
            </w:r>
            <w:r>
              <w:rPr>
                <w:rFonts w:hint="default" w:ascii="Times New Roman" w:hAnsi="Times New Roman" w:eastAsia="宋体" w:cs="Times New Roman"/>
                <w:b/>
                <w:snapToGrid w:val="0"/>
                <w:color w:val="auto"/>
                <w:kern w:val="0"/>
                <w:sz w:val="24"/>
                <w:szCs w:val="28"/>
                <w:highlight w:val="none"/>
              </w:rPr>
              <w:t xml:space="preserve">  建成后新华路厂区固体废弃物产生及利用、处理处置情况一览表</w:t>
            </w:r>
          </w:p>
          <w:tbl>
            <w:tblPr>
              <w:tblStyle w:val="21"/>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54"/>
              <w:gridCol w:w="1607"/>
              <w:gridCol w:w="770"/>
              <w:gridCol w:w="1383"/>
              <w:gridCol w:w="615"/>
              <w:gridCol w:w="1230"/>
              <w:gridCol w:w="184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1" w:hRule="atLeast"/>
              </w:trPr>
              <w:tc>
                <w:tcPr>
                  <w:tcW w:w="769" w:type="pct"/>
                  <w:tcBorders>
                    <w:top w:val="single" w:color="000000" w:sz="12"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产生源</w:t>
                  </w:r>
                </w:p>
              </w:tc>
              <w:tc>
                <w:tcPr>
                  <w:tcW w:w="912" w:type="pct"/>
                  <w:tcBorders>
                    <w:top w:val="single" w:color="000000" w:sz="12"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437" w:type="pct"/>
                  <w:tcBorders>
                    <w:top w:val="single" w:color="000000" w:sz="12" w:space="0"/>
                    <w:left w:val="single" w:color="auto" w:sz="4"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固废</w:t>
                  </w:r>
                </w:p>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类别</w:t>
                  </w:r>
                </w:p>
              </w:tc>
              <w:tc>
                <w:tcPr>
                  <w:tcW w:w="785" w:type="pct"/>
                  <w:tcBorders>
                    <w:top w:val="single" w:color="000000" w:sz="12" w:space="0"/>
                    <w:left w:val="single" w:color="auto" w:sz="4"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固废代码</w:t>
                  </w:r>
                </w:p>
              </w:tc>
              <w:tc>
                <w:tcPr>
                  <w:tcW w:w="349" w:type="pct"/>
                  <w:tcBorders>
                    <w:top w:val="single" w:color="000000" w:sz="12"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性状</w:t>
                  </w:r>
                </w:p>
              </w:tc>
              <w:tc>
                <w:tcPr>
                  <w:tcW w:w="698" w:type="pct"/>
                  <w:tcBorders>
                    <w:top w:val="single" w:color="000000" w:sz="12" w:space="0"/>
                    <w:right w:val="single" w:color="auto" w:sz="6"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产生量</w:t>
                  </w:r>
                </w:p>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t/a</w:t>
                  </w:r>
                </w:p>
              </w:tc>
              <w:tc>
                <w:tcPr>
                  <w:tcW w:w="1048" w:type="pct"/>
                  <w:tcBorders>
                    <w:top w:val="single" w:color="000000" w:sz="12" w:space="0"/>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处置单位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金加工、检验</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废金属边角料(含金属氧化物、不合格品等)</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10</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367-001-10</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4</w:t>
                  </w:r>
                  <w:r>
                    <w:rPr>
                      <w:rFonts w:hint="default" w:ascii="Times New Roman" w:hAnsi="Times New Roman" w:eastAsia="宋体" w:cs="Times New Roman"/>
                      <w:b w:val="0"/>
                      <w:bCs w:val="0"/>
                      <w:color w:val="auto"/>
                      <w:szCs w:val="21"/>
                      <w:highlight w:val="none"/>
                      <w:lang w:eastAsia="zh-CN"/>
                    </w:rPr>
                    <w:t>0</w:t>
                  </w:r>
                  <w:r>
                    <w:rPr>
                      <w:rFonts w:hint="default" w:ascii="Times New Roman" w:hAnsi="Times New Roman" w:eastAsia="宋体" w:cs="Times New Roman"/>
                      <w:b w:val="0"/>
                      <w:bCs w:val="0"/>
                      <w:color w:val="auto"/>
                      <w:szCs w:val="21"/>
                      <w:highlight w:val="none"/>
                      <w:lang w:val="en-US" w:eastAsia="zh-CN"/>
                    </w:rPr>
                    <w:t>90</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专业回收公司</w:t>
                  </w:r>
                </w:p>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回收利用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VCM拆卸</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废VCM部件</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14</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367-001-14</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0.5</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回收公司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过滤器</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废滤网</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900-999-99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0.451</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回收公司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59"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吹扫过滤器</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废滤芯</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900-999-99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0.0038</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回收公司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测试</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废弃膜电极组件</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900-999-99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9485</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回收公司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59"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测试</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废弃电堆</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900-999-99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回收公司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4"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镀膜</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铬靶</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900-999-99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0.78</w:t>
                  </w:r>
                </w:p>
              </w:tc>
              <w:tc>
                <w:tcPr>
                  <w:tcW w:w="1048" w:type="pct"/>
                  <w:vMerge w:val="restar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6"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镀膜</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含铬挡板</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900-999-99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4.3</w:t>
                  </w:r>
                </w:p>
              </w:tc>
              <w:tc>
                <w:tcPr>
                  <w:tcW w:w="1048" w:type="pct"/>
                  <w:vMerge w:val="continue"/>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电化学加工</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bCs/>
                      <w:color w:val="auto"/>
                      <w:szCs w:val="21"/>
                      <w:highlight w:val="none"/>
                    </w:rPr>
                    <w:t>表面处理废液</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HW17</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336-064-17</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液态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513.6</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szCs w:val="21"/>
                      <w:highlight w:val="none"/>
                    </w:rPr>
                    <w:t>常州市锦云工业废弃物处理有限公司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87"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金加工、设备维护、清洗、测试、油雾废气治理</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废油（含废磨料）</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HW08</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900-249-08</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液态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431.63</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无锡市三得利石化有限公司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769" w:type="pct"/>
                  <w:tcBorders>
                    <w:bottom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原料使用</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废油桶</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HW08</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900-249-08</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50.534</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769" w:type="pct"/>
                  <w:tcBorders>
                    <w:bottom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原料使用</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bCs/>
                      <w:color w:val="auto"/>
                      <w:szCs w:val="21"/>
                      <w:highlight w:val="none"/>
                      <w:lang w:val="en-US" w:eastAsia="zh-CN"/>
                    </w:rPr>
                    <w:t>化学品容器</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HW49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900-041-49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rPr>
                  </w:pPr>
                  <w:r>
                    <w:rPr>
                      <w:rFonts w:hint="eastAsia" w:cs="Times New Roman"/>
                      <w:b w:val="0"/>
                      <w:bCs w:val="0"/>
                      <w:color w:val="auto"/>
                      <w:szCs w:val="21"/>
                      <w:highlight w:val="none"/>
                      <w:lang w:val="en-US" w:eastAsia="zh-CN"/>
                    </w:rPr>
                    <w:t>15.815</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769"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生产线、实验室</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有机溶剂</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HW06</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900-402-06</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液态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1.4017</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常州市锦云工业废弃物处理有限公司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实验室</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废酸</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HW34</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900-349-34</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液态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0.005</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有资质单位处理处置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镀铬</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废滤芯、手套等（含铬）</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HW49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900-041-49</w:t>
                  </w:r>
                </w:p>
              </w:tc>
              <w:tc>
                <w:tcPr>
                  <w:tcW w:w="349" w:type="pct"/>
                  <w:vMerge w:val="restar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8</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424"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镀铬</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含铬废物（液体）</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HW17</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336-069-17</w:t>
                  </w:r>
                </w:p>
              </w:tc>
              <w:tc>
                <w:tcPr>
                  <w:tcW w:w="349" w:type="pct"/>
                  <w:vMerge w:val="continue"/>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30</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镇江市和云工业废水处置有限公司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污水处理站</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bCs/>
                      <w:color w:val="auto"/>
                      <w:szCs w:val="21"/>
                      <w:highlight w:val="none"/>
                    </w:rPr>
                    <w:t>污水处理污泥</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HW17</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336-064-17</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半固态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88.2</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769" w:type="pct"/>
                  <w:vMerge w:val="restar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供油中心等</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含油废物</w:t>
                  </w:r>
                </w:p>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（砂轮灰等）</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HW08</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900-213-08</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370.02</w:t>
                  </w:r>
                </w:p>
              </w:tc>
              <w:tc>
                <w:tcPr>
                  <w:tcW w:w="1048" w:type="pct"/>
                  <w:tcBorders>
                    <w:bottom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szCs w:val="21"/>
                      <w:highlight w:val="none"/>
                    </w:rPr>
                    <w:t>常州市特拉奇环保科技有限公司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769" w:type="pct"/>
                  <w:vMerge w:val="continue"/>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bCs/>
                      <w:color w:val="auto"/>
                      <w:szCs w:val="21"/>
                      <w:highlight w:val="none"/>
                    </w:rPr>
                    <w:t>含油废物（滤芯、滤布、毛刷等）</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HW49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900-041-49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86.16</w:t>
                  </w:r>
                </w:p>
              </w:tc>
              <w:tc>
                <w:tcPr>
                  <w:tcW w:w="1048" w:type="pct"/>
                  <w:tcBorders>
                    <w:top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苏州新区环保服务中心有限公司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医务室</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医疗废物</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HW01</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831-001-01</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0.04</w:t>
                  </w:r>
                </w:p>
              </w:tc>
              <w:tc>
                <w:tcPr>
                  <w:tcW w:w="1048" w:type="pct"/>
                  <w:tcBorders>
                    <w:top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无锡市工业废物安全处置有限公司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2"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办公生活</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废含汞灯管</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HW29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900-023-29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1.6</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szCs w:val="21"/>
                      <w:highlight w:val="none"/>
                    </w:rPr>
                    <w:t>常州市锦云工业废弃物处理有限公司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办公生活</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废蓄电池</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HW31</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900-052-31</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15</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szCs w:val="21"/>
                      <w:highlight w:val="none"/>
                    </w:rPr>
                    <w:t>无锡军鸿再生资源利用有限公司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实验室</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废试剂/实验室废液</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HW49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900-047-49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液体</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2.1</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实验室</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废尿素溶液</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HW09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900-007-09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液体</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28</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常州市锦云工业废弃物处理有限公司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化学品储存</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废弃化学品</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HW49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900-999-49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液体</w:t>
                  </w:r>
                </w:p>
              </w:tc>
              <w:tc>
                <w:tcPr>
                  <w:tcW w:w="698" w:type="pct"/>
                  <w:tcBorders>
                    <w:right w:val="single" w:color="auto" w:sz="4" w:space="0"/>
                  </w:tcBorders>
                  <w:noWrap w:val="0"/>
                  <w:vAlign w:val="center"/>
                </w:tcPr>
                <w:p>
                  <w:pPr>
                    <w:adjustRightInd w:val="0"/>
                    <w:snapToGrid w:val="0"/>
                    <w:jc w:val="center"/>
                    <w:rPr>
                      <w:rFonts w:hint="eastAsia" w:ascii="Times New Roman" w:hAnsi="Times New Roman" w:eastAsia="宋体" w:cs="Times New Roman"/>
                      <w:b w:val="0"/>
                      <w:bCs w:val="0"/>
                      <w:color w:val="auto"/>
                      <w:szCs w:val="21"/>
                      <w:highlight w:val="none"/>
                      <w:lang w:eastAsia="zh-CN"/>
                    </w:rPr>
                  </w:pPr>
                  <w:r>
                    <w:rPr>
                      <w:rFonts w:hint="eastAsia" w:cs="Times New Roman"/>
                      <w:b w:val="0"/>
                      <w:bCs w:val="0"/>
                      <w:color w:val="auto"/>
                      <w:szCs w:val="21"/>
                      <w:highlight w:val="none"/>
                      <w:lang w:val="en-US" w:eastAsia="zh-CN"/>
                    </w:rPr>
                    <w:t>7</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溧阳中材环保有限公司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废气处理</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废活性炭</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HW49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900-039-49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1.03</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委托有资质单位处置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769" w:type="pct"/>
                  <w:noWrap w:val="0"/>
                  <w:vAlign w:val="center"/>
                </w:tcPr>
                <w:p>
                  <w:pPr>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废气处理</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bCs/>
                      <w:color w:val="auto"/>
                      <w:szCs w:val="21"/>
                      <w:highlight w:val="none"/>
                      <w:lang w:val="en-US" w:eastAsia="zh-CN"/>
                    </w:rPr>
                    <w:t>废过滤材料</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HW49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900-039-49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0.46</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委托有资质单位处置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清洗</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废碱液</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HW35</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900-352-35</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液态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0.14</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常州市风华环保有限公司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污水处理站</w:t>
                  </w:r>
                </w:p>
              </w:tc>
              <w:tc>
                <w:tcPr>
                  <w:tcW w:w="912"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浓缩废液</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HW09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900-007-09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液态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rPr>
                  </w:pPr>
                  <w:r>
                    <w:rPr>
                      <w:rFonts w:hint="eastAsia" w:cs="Times New Roman"/>
                      <w:b w:val="0"/>
                      <w:bCs w:val="0"/>
                      <w:color w:val="auto"/>
                      <w:szCs w:val="21"/>
                      <w:highlight w:val="none"/>
                      <w:lang w:val="en-US" w:eastAsia="zh-CN"/>
                    </w:rPr>
                    <w:t>442.92</w:t>
                  </w:r>
                </w:p>
              </w:tc>
              <w:tc>
                <w:tcPr>
                  <w:tcW w:w="1048" w:type="pct"/>
                  <w:vMerge w:val="restar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常州市锦云工业废弃物处理有限公司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污水处理站</w:t>
                  </w:r>
                </w:p>
              </w:tc>
              <w:tc>
                <w:tcPr>
                  <w:tcW w:w="912"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离心分离和</w:t>
                  </w:r>
                </w:p>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超滤废液</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HW09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900-007-09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液态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667.88</w:t>
                  </w:r>
                </w:p>
              </w:tc>
              <w:tc>
                <w:tcPr>
                  <w:tcW w:w="1048" w:type="pct"/>
                  <w:vMerge w:val="continue"/>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88"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设备擦拭</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不</w:t>
                  </w:r>
                  <w:r>
                    <w:rPr>
                      <w:rFonts w:hint="default" w:ascii="Times New Roman" w:hAnsi="Times New Roman" w:eastAsia="宋体" w:cs="Times New Roman"/>
                      <w:b w:val="0"/>
                      <w:bCs w:val="0"/>
                      <w:color w:val="auto"/>
                      <w:szCs w:val="21"/>
                      <w:highlight w:val="none"/>
                    </w:rPr>
                    <w:t>含油废物（废弃含油抹布、劳保用品）*</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HW49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900-041-49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热电厂焚烧发电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喷砂</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废玻璃钢珠</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06</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376-001-06</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36</w:t>
                  </w:r>
                </w:p>
              </w:tc>
              <w:tc>
                <w:tcPr>
                  <w:tcW w:w="1048" w:type="pct"/>
                  <w:vMerge w:val="restar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废品回收商回收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喷丸</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废钢珠</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10</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367-001-10</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0.8</w:t>
                  </w:r>
                </w:p>
              </w:tc>
              <w:tc>
                <w:tcPr>
                  <w:tcW w:w="1048" w:type="pct"/>
                  <w:vMerge w:val="continue"/>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测试</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废保险丝</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900-999-99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0.01</w:t>
                  </w:r>
                </w:p>
              </w:tc>
              <w:tc>
                <w:tcPr>
                  <w:tcW w:w="1048" w:type="pct"/>
                  <w:vMerge w:val="continue"/>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喷砂废气处理</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收集的金属粉尘</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66</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900-999-66</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17.138</w:t>
                  </w:r>
                </w:p>
              </w:tc>
              <w:tc>
                <w:tcPr>
                  <w:tcW w:w="1048" w:type="pct"/>
                  <w:vMerge w:val="continue"/>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769" w:type="pct"/>
                  <w:noWrap w:val="0"/>
                  <w:vAlign w:val="center"/>
                </w:tcPr>
                <w:p>
                  <w:pPr>
                    <w:widowControl/>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纯水制备</w:t>
                  </w:r>
                </w:p>
              </w:tc>
              <w:tc>
                <w:tcPr>
                  <w:tcW w:w="912" w:type="pct"/>
                  <w:noWrap w:val="0"/>
                  <w:vAlign w:val="center"/>
                </w:tcPr>
                <w:p>
                  <w:pPr>
                    <w:widowControl/>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废过滤材料（废滤袋、废活性炭、废石英砂）</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900-999-99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5</w:t>
                  </w:r>
                </w:p>
              </w:tc>
              <w:tc>
                <w:tcPr>
                  <w:tcW w:w="1048" w:type="pct"/>
                  <w:vMerge w:val="restar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供应商回收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trPr>
              <w:tc>
                <w:tcPr>
                  <w:tcW w:w="769" w:type="pct"/>
                  <w:noWrap w:val="0"/>
                  <w:vAlign w:val="center"/>
                </w:tcPr>
                <w:p>
                  <w:pPr>
                    <w:widowControl/>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纯水制备</w:t>
                  </w:r>
                </w:p>
              </w:tc>
              <w:tc>
                <w:tcPr>
                  <w:tcW w:w="912" w:type="pct"/>
                  <w:noWrap w:val="0"/>
                  <w:vAlign w:val="center"/>
                </w:tcPr>
                <w:p>
                  <w:pPr>
                    <w:widowControl/>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bCs/>
                      <w:color w:val="auto"/>
                      <w:kern w:val="0"/>
                      <w:szCs w:val="21"/>
                      <w:highlight w:val="none"/>
                    </w:rPr>
                    <w:t>废膜组件</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900-999-99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0.063</w:t>
                  </w:r>
                </w:p>
              </w:tc>
              <w:tc>
                <w:tcPr>
                  <w:tcW w:w="1048" w:type="pct"/>
                  <w:vMerge w:val="continue"/>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9"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注塑废气处理</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收集的其他粉尘</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66</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900-999-66</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0.0693</w:t>
                  </w:r>
                </w:p>
              </w:tc>
              <w:tc>
                <w:tcPr>
                  <w:tcW w:w="1048" w:type="pct"/>
                  <w:vMerge w:val="restar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环卫部门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1"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员工</w:t>
                  </w:r>
                </w:p>
              </w:tc>
              <w:tc>
                <w:tcPr>
                  <w:tcW w:w="912"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生活垃圾</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66</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900-999-66</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334.51</w:t>
                  </w:r>
                </w:p>
              </w:tc>
              <w:tc>
                <w:tcPr>
                  <w:tcW w:w="1048" w:type="pct"/>
                  <w:vMerge w:val="continue"/>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5"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食堂</w:t>
                  </w:r>
                </w:p>
              </w:tc>
              <w:tc>
                <w:tcPr>
                  <w:tcW w:w="912" w:type="pct"/>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食堂泔脚</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39</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900-999-39</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半固态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336.5</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szCs w:val="21"/>
                      <w:highlight w:val="none"/>
                    </w:rPr>
                    <w:t>无锡市宜易隆城市物业管理有限公司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5"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办公</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LED灯管</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14</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900-999-14</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1.5</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回收公司回收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5" w:hRule="atLeast"/>
              </w:trPr>
              <w:tc>
                <w:tcPr>
                  <w:tcW w:w="76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物流</w:t>
                  </w:r>
                </w:p>
              </w:tc>
              <w:tc>
                <w:tcPr>
                  <w:tcW w:w="912"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废塑料、废纸箱、废木栈板</w:t>
                  </w:r>
                </w:p>
              </w:tc>
              <w:tc>
                <w:tcPr>
                  <w:tcW w:w="437" w:type="pc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1200</w:t>
                  </w:r>
                </w:p>
              </w:tc>
              <w:tc>
                <w:tcPr>
                  <w:tcW w:w="785" w:type="pct"/>
                  <w:tcBorders>
                    <w:lef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900-999-66</w:t>
                  </w:r>
                </w:p>
              </w:tc>
              <w:tc>
                <w:tcPr>
                  <w:tcW w:w="349"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固态</w:t>
                  </w:r>
                </w:p>
              </w:tc>
              <w:tc>
                <w:tcPr>
                  <w:tcW w:w="698"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12</w:t>
                  </w:r>
                  <w:r>
                    <w:rPr>
                      <w:rFonts w:hint="default" w:ascii="Times New Roman" w:hAnsi="Times New Roman" w:eastAsia="宋体" w:cs="Times New Roman"/>
                      <w:b w:val="0"/>
                      <w:bCs w:val="0"/>
                      <w:color w:val="auto"/>
                      <w:szCs w:val="21"/>
                      <w:highlight w:val="none"/>
                      <w:lang w:val="en-US" w:eastAsia="zh-CN"/>
                    </w:rPr>
                    <w:t>5</w:t>
                  </w:r>
                  <w:r>
                    <w:rPr>
                      <w:rFonts w:hint="default" w:ascii="Times New Roman" w:hAnsi="Times New Roman" w:eastAsia="宋体" w:cs="Times New Roman"/>
                      <w:b w:val="0"/>
                      <w:bCs w:val="0"/>
                      <w:color w:val="auto"/>
                      <w:szCs w:val="21"/>
                      <w:highlight w:val="none"/>
                    </w:rPr>
                    <w:t>0</w:t>
                  </w:r>
                </w:p>
              </w:tc>
              <w:tc>
                <w:tcPr>
                  <w:tcW w:w="1048" w:type="pct"/>
                  <w:noWrap w:val="0"/>
                  <w:vAlign w:val="center"/>
                </w:tcPr>
                <w:p>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废品回收单位回收</w:t>
                  </w:r>
                </w:p>
              </w:tc>
            </w:tr>
          </w:tbl>
          <w:p>
            <w:pPr>
              <w:adjustRightInd w:val="0"/>
              <w:snapToGrid w:val="0"/>
              <w:spacing w:line="500" w:lineRule="exact"/>
              <w:ind w:firstLine="482" w:firstLineChars="200"/>
              <w:jc w:val="both"/>
              <w:rPr>
                <w:rFonts w:hint="default" w:ascii="Times New Roman" w:hAnsi="Times New Roman" w:eastAsia="宋体" w:cs="Times New Roman"/>
                <w:b/>
                <w:snapToGrid w:val="0"/>
                <w:color w:val="auto"/>
                <w:sz w:val="24"/>
                <w:szCs w:val="30"/>
                <w:highlight w:val="none"/>
              </w:rPr>
            </w:pPr>
            <w:r>
              <w:rPr>
                <w:rFonts w:hint="default" w:ascii="Times New Roman" w:hAnsi="Times New Roman" w:eastAsia="宋体" w:cs="Times New Roman"/>
                <w:b/>
                <w:snapToGrid w:val="0"/>
                <w:color w:val="auto"/>
                <w:sz w:val="24"/>
                <w:szCs w:val="30"/>
                <w:highlight w:val="none"/>
              </w:rPr>
              <w:t>（3）固体废物环境影响分析</w:t>
            </w:r>
          </w:p>
          <w:p>
            <w:pPr>
              <w:adjustRightInd w:val="0"/>
              <w:snapToGrid w:val="0"/>
              <w:spacing w:line="500" w:lineRule="exact"/>
              <w:ind w:firstLine="600" w:firstLineChars="25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1）一般工业固废环境影响分析</w:t>
            </w:r>
          </w:p>
          <w:p>
            <w:pPr>
              <w:adjustRightInd w:val="0"/>
              <w:snapToGrid w:val="0"/>
              <w:spacing w:line="500" w:lineRule="exact"/>
              <w:ind w:firstLine="600" w:firstLineChars="25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本项目新增的一般工业固废</w:t>
            </w:r>
            <w:r>
              <w:rPr>
                <w:rFonts w:hint="eastAsia" w:cs="Times New Roman"/>
                <w:color w:val="auto"/>
                <w:sz w:val="24"/>
                <w:highlight w:val="none"/>
                <w:lang w:val="en-US" w:eastAsia="zh-CN"/>
              </w:rPr>
              <w:t>为废膜组件</w:t>
            </w:r>
            <w:r>
              <w:rPr>
                <w:rFonts w:hint="eastAsia" w:cs="Times New Roman"/>
                <w:color w:val="auto"/>
                <w:sz w:val="24"/>
                <w:highlight w:val="none"/>
                <w:lang w:eastAsia="zh-CN"/>
              </w:rPr>
              <w:t>。</w:t>
            </w:r>
            <w:r>
              <w:rPr>
                <w:rFonts w:hint="eastAsia" w:cs="Times New Roman"/>
                <w:color w:val="auto"/>
                <w:sz w:val="24"/>
                <w:highlight w:val="none"/>
                <w:lang w:val="en-US" w:eastAsia="zh-CN"/>
              </w:rPr>
              <w:t>现有项目</w:t>
            </w:r>
            <w:r>
              <w:rPr>
                <w:rFonts w:hint="default" w:ascii="Times New Roman" w:hAnsi="Times New Roman" w:eastAsia="宋体" w:cs="Times New Roman"/>
                <w:color w:val="auto"/>
                <w:sz w:val="24"/>
                <w:highlight w:val="none"/>
              </w:rPr>
              <w:t>一般工业固废暂存区域满足防雨、防风、防晒、放扬散等要求，不会造成二次污染。</w:t>
            </w:r>
          </w:p>
          <w:p>
            <w:pPr>
              <w:adjustRightInd w:val="0"/>
              <w:snapToGrid w:val="0"/>
              <w:spacing w:line="500" w:lineRule="exact"/>
              <w:ind w:firstLine="600" w:firstLineChars="25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2）生活垃圾环境影响分析</w:t>
            </w:r>
          </w:p>
          <w:p>
            <w:pPr>
              <w:adjustRightInd w:val="0"/>
              <w:snapToGrid w:val="0"/>
              <w:spacing w:line="500" w:lineRule="exact"/>
              <w:ind w:firstLine="600" w:firstLineChars="25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本项目新增生活垃圾经厂区内垃圾桶收集后，由园区环卫部门统一清运卫生填埋，不会造成二次污染。</w:t>
            </w:r>
          </w:p>
          <w:p>
            <w:pPr>
              <w:adjustRightInd w:val="0"/>
              <w:snapToGrid w:val="0"/>
              <w:spacing w:line="500" w:lineRule="exact"/>
              <w:ind w:firstLine="600" w:firstLineChars="25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3）危险废物环境影响分析</w:t>
            </w:r>
          </w:p>
          <w:p>
            <w:pPr>
              <w:adjustRightInd w:val="0"/>
              <w:snapToGrid w:val="0"/>
              <w:spacing w:line="500" w:lineRule="exact"/>
              <w:ind w:firstLine="600" w:firstLineChars="25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①危险废物收集暂存环境影响分析</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危险废物在包装收集时，按《关于加强危险废物交换和转移管理工作的通知》要求，根据危险废物的性质和形态，采用相应材质、容器进行安全包装，并在包装的明显位置附上危险废物标签。通过严格检查，严防在装载、搬迁或运输中出现渗漏、溢出、抛洒或挥发等不利情况。</w:t>
            </w:r>
          </w:p>
          <w:p>
            <w:pPr>
              <w:adjustRightInd w:val="0"/>
              <w:snapToGrid w:val="0"/>
              <w:spacing w:line="500" w:lineRule="exact"/>
              <w:ind w:firstLine="600" w:firstLineChars="25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②危险废物运输环境影响分析</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项目危废运输易产生影响的污染物主要为</w:t>
            </w:r>
            <w:r>
              <w:rPr>
                <w:rFonts w:hint="default" w:ascii="Times New Roman" w:hAnsi="Times New Roman" w:eastAsia="宋体" w:cs="Times New Roman"/>
                <w:color w:val="auto"/>
                <w:kern w:val="2"/>
                <w:sz w:val="24"/>
                <w:szCs w:val="24"/>
                <w:highlight w:val="none"/>
              </w:rPr>
              <w:t>液态危废</w:t>
            </w:r>
            <w:r>
              <w:rPr>
                <w:rFonts w:hint="default" w:ascii="Times New Roman" w:hAnsi="Times New Roman" w:eastAsia="宋体" w:cs="Times New Roman"/>
                <w:bCs/>
                <w:color w:val="auto"/>
                <w:kern w:val="2"/>
                <w:sz w:val="24"/>
                <w:szCs w:val="24"/>
                <w:highlight w:val="none"/>
              </w:rPr>
              <w:t>，运输车辆沿途将对周围的居民带来一定的异味，夜间运输噪声可能会影响居民正常休息。因此，运输过程必须要引起建设单位的足够重视，改进车辆的密封性能，并注意检查、维护运输车辆，对有渗漏的车辆必须强制淘汰，同时应调整好运输的时间尽可能集中，避免夜间运输，以保护环境和减少对周围群众的影响。</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基于以上要求，对运输路线进行如下规划：</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Ⅰ、废物运输线路以项目地理位置、危废产生单位地理位置分布、产生量、运输时间分配等因素综合考虑。原则上，废物运输车安排专人执行，使运输服务标准化。</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Ⅱ、在规划线路上，事先调查各产生单位的地理环境状况、交通、街道路线情况，同一区域的产生单位同类工业废物规划在同一车次执行清运。</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运输过程噪声影响分析：运输车噪声源约为85dB(A)，经计算在道路两侧无任何障碍的情况下，道路两则6m以外的地方等效连续声级为69dB(A)，即在进厂道路两侧6m以外的地方，交通噪声符合昼间交通干线两侧等效连续声级低于70dB(A)的要求，但超过夜间噪声标准55dB(A)；在距公路30米的地方，等效连续声级为55dB(A)，可见在进厂道路两侧30m以外的地方，交通噪声符合交通干线两侧昼间和夜间等效连续声级低于55dB(A)的标准值。道路两侧30m内办公、生活居住场所会受到运输车噪声的影响。</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沿途废水影响分析：在车辆密封良好的情况下，运输过程中可有效控制运输车的废物泄漏问题，对运输车所经过的道路两旁水体水质影响不大。但是若运输车出现沿路洒漏，则会由雨水冲涮路面而对附近水体造成污染。因此建设单位和危废承运单位需严格按照要求进行包装和运输过程管理，确保运输过程中不发生洒漏。</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为了减少运输对沿途的影响，防止运输沿线环境污染，建议采取以下措施：</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Ⅰ、采用密封运输车装运，对在用车加强维修保养，并及时更新运输车辆，确保运输车的密封性能良好。</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Ⅱ、定期清洗运输车辆，做好道路及其两侧的保洁工作。</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Ⅲ、优化运输路线，运输车辆尽可能避开居住区、学校敏感区，确需路过的，必须严格控制、缩短运输车在敏感点附近滞留的时间。</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Ⅳ、每辆运输车都配备必要的通讯工具，供应急联络用，当运输过程中发生事故，运输人员必须尽快通知有关管理部门进行妥善处理。</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Ⅴ、加强对运输司机的思想教育和技术培训，避免交通事故的发生。</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Ⅵ、避免夜间运输发生噪声扰民现象。</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Ⅶ、对运输车辆注入信息化管理手段；加强运输车辆的跟踪监管；建立运输车辆的信息管理库，实现计量管理和运输的信息反馈制度。</w:t>
            </w:r>
          </w:p>
          <w:p>
            <w:pPr>
              <w:pStyle w:val="74"/>
              <w:snapToGrid w:val="0"/>
              <w:ind w:firstLine="48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Ⅷ、危险废物运输车辆须经环保主管部门及本中心的检查，并持有主管部门签发的许可证，负责废物的运输司机须通过内部培训，持有证明文件。</w:t>
            </w:r>
          </w:p>
          <w:p>
            <w:pPr>
              <w:adjustRightInd w:val="0"/>
              <w:snapToGrid w:val="0"/>
              <w:spacing w:line="500" w:lineRule="exact"/>
              <w:ind w:firstLine="600" w:firstLineChars="25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Ⅸ、承载危险废物的车辆须设置明显的标志或适当的危险符号，车辆所载危险废物须注明废物来源、性质和运往地点，必要时派专门人员负责押运。组织危险废物的运输单位，在事先也应作出周密的运输计划和行驶路线，其中包括有效的废物泄漏情况下的应急措施。</w:t>
            </w:r>
          </w:p>
          <w:p>
            <w:pPr>
              <w:numPr>
                <w:ilvl w:val="0"/>
                <w:numId w:val="12"/>
              </w:numPr>
              <w:adjustRightInd w:val="0"/>
              <w:snapToGrid w:val="0"/>
              <w:spacing w:line="500" w:lineRule="exact"/>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处理处置环节影响分析</w:t>
            </w:r>
          </w:p>
          <w:p>
            <w:pPr>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本项目一般工业固废由废品回收单位回收；危险废物均委托有资质单位处理处置。</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240" w:firstLineChars="1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本项目新增产生的危险废物为</w:t>
            </w:r>
            <w:r>
              <w:rPr>
                <w:rFonts w:hint="eastAsia" w:cs="Times New Roman"/>
                <w:color w:val="auto"/>
                <w:sz w:val="24"/>
                <w:highlight w:val="none"/>
                <w:lang w:val="en-US" w:eastAsia="zh-CN"/>
              </w:rPr>
              <w:t>表面处理废液</w:t>
            </w:r>
            <w:r>
              <w:rPr>
                <w:rFonts w:hint="default" w:ascii="Times New Roman" w:hAnsi="Times New Roman" w:eastAsia="宋体" w:cs="Times New Roman"/>
                <w:color w:val="auto"/>
                <w:sz w:val="24"/>
                <w:highlight w:val="none"/>
                <w:lang w:val="en-US" w:eastAsia="zh-CN"/>
              </w:rPr>
              <w:t>（HW</w:t>
            </w:r>
            <w:r>
              <w:rPr>
                <w:rFonts w:hint="eastAsia" w:cs="Times New Roman"/>
                <w:color w:val="auto"/>
                <w:sz w:val="24"/>
                <w:highlight w:val="none"/>
                <w:lang w:val="en-US" w:eastAsia="zh-CN"/>
              </w:rPr>
              <w:t>17</w:t>
            </w:r>
            <w:r>
              <w:rPr>
                <w:rFonts w:hint="default" w:ascii="Times New Roman" w:hAnsi="Times New Roman" w:eastAsia="宋体" w:cs="Times New Roman"/>
                <w:color w:val="auto"/>
                <w:sz w:val="24"/>
                <w:highlight w:val="none"/>
                <w:lang w:val="en-US" w:eastAsia="zh-CN"/>
              </w:rPr>
              <w:t xml:space="preserve"> </w:t>
            </w:r>
            <w:r>
              <w:rPr>
                <w:rFonts w:hint="eastAsia" w:cs="Times New Roman"/>
                <w:color w:val="auto"/>
                <w:sz w:val="24"/>
                <w:highlight w:val="none"/>
                <w:lang w:val="en-US" w:eastAsia="zh-CN"/>
              </w:rPr>
              <w:t>336-064-17</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、化学品容器</w:t>
            </w:r>
            <w:r>
              <w:rPr>
                <w:rFonts w:hint="default" w:ascii="Times New Roman" w:hAnsi="Times New Roman" w:eastAsia="宋体" w:cs="Times New Roman"/>
                <w:color w:val="auto"/>
                <w:sz w:val="24"/>
                <w:highlight w:val="none"/>
              </w:rPr>
              <w:t>（HW</w:t>
            </w:r>
            <w:r>
              <w:rPr>
                <w:rFonts w:hint="eastAsia" w:cs="Times New Roman"/>
                <w:color w:val="auto"/>
                <w:sz w:val="24"/>
                <w:highlight w:val="none"/>
                <w:lang w:val="en-US" w:eastAsia="zh-CN"/>
              </w:rPr>
              <w:t>49</w:t>
            </w:r>
            <w:r>
              <w:rPr>
                <w:rFonts w:hint="default" w:ascii="Times New Roman" w:hAnsi="Times New Roman" w:eastAsia="宋体" w:cs="Times New Roman"/>
                <w:color w:val="auto"/>
                <w:sz w:val="24"/>
                <w:highlight w:val="none"/>
              </w:rPr>
              <w:t xml:space="preserve"> 900-</w:t>
            </w:r>
            <w:r>
              <w:rPr>
                <w:rFonts w:hint="eastAsia" w:cs="Times New Roman"/>
                <w:color w:val="auto"/>
                <w:sz w:val="24"/>
                <w:highlight w:val="none"/>
                <w:lang w:val="en-US" w:eastAsia="zh-CN"/>
              </w:rPr>
              <w:t>041</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49</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含油废抹布（HW49 900-041-49）、</w:t>
            </w:r>
            <w:r>
              <w:rPr>
                <w:rFonts w:hint="default" w:ascii="Times New Roman" w:hAnsi="Times New Roman" w:eastAsia="宋体" w:cs="Times New Roman"/>
                <w:color w:val="auto"/>
                <w:sz w:val="24"/>
                <w:highlight w:val="none"/>
              </w:rPr>
              <w:t>废水处理污泥（HW17 336-064-17）</w:t>
            </w:r>
            <w:r>
              <w:rPr>
                <w:rFonts w:hint="eastAsia" w:cs="Times New Roman"/>
                <w:color w:val="auto"/>
                <w:sz w:val="24"/>
                <w:highlight w:val="none"/>
                <w:lang w:val="en-US" w:eastAsia="zh-CN"/>
              </w:rPr>
              <w:t>、浓缩废液（HW09 900-007-09）、离心分离和超滤废液（HW09 900-007-09）、废过滤材料（HW49 900-039-49）</w:t>
            </w:r>
            <w:r>
              <w:rPr>
                <w:rFonts w:hint="default" w:ascii="Times New Roman" w:hAnsi="Times New Roman" w:eastAsia="宋体" w:cs="Times New Roman"/>
                <w:color w:val="auto"/>
                <w:sz w:val="24"/>
                <w:highlight w:val="none"/>
              </w:rPr>
              <w:t>等。</w:t>
            </w:r>
            <w:r>
              <w:rPr>
                <w:rFonts w:hint="eastAsia" w:cs="Times New Roman"/>
                <w:color w:val="auto"/>
                <w:sz w:val="24"/>
                <w:highlight w:val="none"/>
                <w:lang w:val="en-US" w:eastAsia="zh-CN"/>
              </w:rPr>
              <w:t>化学品容器、</w:t>
            </w:r>
            <w:r>
              <w:rPr>
                <w:rFonts w:hint="default" w:ascii="Times New Roman" w:hAnsi="Times New Roman" w:eastAsia="宋体" w:cs="Times New Roman"/>
                <w:color w:val="auto"/>
                <w:sz w:val="24"/>
                <w:highlight w:val="none"/>
              </w:rPr>
              <w:t>污泥等</w:t>
            </w:r>
            <w:r>
              <w:rPr>
                <w:rFonts w:hint="eastAsia" w:cs="Times New Roman"/>
                <w:color w:val="auto"/>
                <w:sz w:val="24"/>
                <w:highlight w:val="none"/>
                <w:lang w:eastAsia="zh-CN"/>
              </w:rPr>
              <w:t>、</w:t>
            </w:r>
            <w:r>
              <w:rPr>
                <w:rFonts w:hint="eastAsia" w:cs="Times New Roman"/>
                <w:color w:val="auto"/>
                <w:sz w:val="24"/>
                <w:highlight w:val="none"/>
                <w:lang w:val="en-US" w:eastAsia="zh-CN"/>
              </w:rPr>
              <w:t>表面处理废液、浓缩</w:t>
            </w:r>
            <w:r>
              <w:rPr>
                <w:rFonts w:hint="default" w:ascii="Times New Roman" w:hAnsi="Times New Roman" w:eastAsia="宋体" w:cs="Times New Roman"/>
                <w:color w:val="auto"/>
                <w:sz w:val="24"/>
                <w:highlight w:val="none"/>
              </w:rPr>
              <w:t>废液</w:t>
            </w:r>
            <w:r>
              <w:rPr>
                <w:rFonts w:hint="eastAsia" w:cs="Times New Roman"/>
                <w:color w:val="auto"/>
                <w:sz w:val="24"/>
                <w:highlight w:val="none"/>
                <w:lang w:eastAsia="zh-CN"/>
              </w:rPr>
              <w:t>、</w:t>
            </w:r>
            <w:r>
              <w:rPr>
                <w:rFonts w:hint="eastAsia" w:cs="Times New Roman"/>
                <w:color w:val="auto"/>
                <w:sz w:val="24"/>
                <w:highlight w:val="none"/>
                <w:lang w:val="en-US" w:eastAsia="zh-CN"/>
              </w:rPr>
              <w:t>离心分离和超滤废液</w:t>
            </w:r>
            <w:r>
              <w:rPr>
                <w:rFonts w:hint="default" w:ascii="Times New Roman" w:hAnsi="Times New Roman" w:eastAsia="宋体" w:cs="Times New Roman"/>
                <w:color w:val="auto"/>
                <w:sz w:val="24"/>
                <w:highlight w:val="none"/>
              </w:rPr>
              <w:t>拟委托溧阳中材环保有限公司处理处置。无锡市范围内还有无锡合众再生资源有限公司、无锡市工业废物完全处置有限公司、无锡中天固废处置有限公司等多家单位具备废油、油水烃水混合物等处置资质。</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故本项目危险废物处置措施可行。上述各单位危废处理处置资质和能力详见下表：</w:t>
            </w:r>
          </w:p>
          <w:p>
            <w:pPr>
              <w:adjustRightInd w:val="0"/>
              <w:snapToGrid w:val="0"/>
              <w:spacing w:line="520" w:lineRule="exact"/>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cs="Times New Roman"/>
                <w:b/>
                <w:bCs/>
                <w:color w:val="auto"/>
                <w:sz w:val="24"/>
                <w:highlight w:val="none"/>
                <w:lang w:val="en-US" w:eastAsia="zh-CN"/>
              </w:rPr>
              <w:t>11</w:t>
            </w:r>
            <w:r>
              <w:rPr>
                <w:rFonts w:hint="default" w:ascii="Times New Roman" w:hAnsi="Times New Roman" w:eastAsia="宋体" w:cs="Times New Roman"/>
                <w:b/>
                <w:bCs/>
                <w:color w:val="auto"/>
                <w:sz w:val="24"/>
                <w:highlight w:val="none"/>
              </w:rPr>
              <w:t xml:space="preserve">   危废处置单位概况</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81"/>
              <w:gridCol w:w="1027"/>
              <w:gridCol w:w="1027"/>
              <w:gridCol w:w="2080"/>
              <w:gridCol w:w="41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3" w:type="pct"/>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583" w:type="pct"/>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企业名称</w:t>
                  </w:r>
                </w:p>
              </w:tc>
              <w:tc>
                <w:tcPr>
                  <w:tcW w:w="583" w:type="pct"/>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地址</w:t>
                  </w:r>
                </w:p>
              </w:tc>
              <w:tc>
                <w:tcPr>
                  <w:tcW w:w="1181" w:type="pct"/>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许可证号</w:t>
                  </w:r>
                </w:p>
              </w:tc>
              <w:tc>
                <w:tcPr>
                  <w:tcW w:w="2379" w:type="pct"/>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经营品种及能力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3" w:type="pct"/>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1</w:t>
                  </w:r>
                </w:p>
              </w:tc>
              <w:tc>
                <w:tcPr>
                  <w:tcW w:w="583" w:type="pct"/>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溧阳中材环保有限公司</w:t>
                  </w:r>
                </w:p>
              </w:tc>
              <w:tc>
                <w:tcPr>
                  <w:tcW w:w="583"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溧阳市上兴镇环保路1号</w:t>
                  </w:r>
                </w:p>
              </w:tc>
              <w:tc>
                <w:tcPr>
                  <w:tcW w:w="1181" w:type="pct"/>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JS0481OO1546-5</w:t>
                  </w:r>
                </w:p>
              </w:tc>
              <w:tc>
                <w:tcPr>
                  <w:tcW w:w="2379" w:type="pct"/>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水泥窑协同处置焚烧医药废物（HW02）、农药废物（HW04）、废有机溶剂与含有机溶剂废物（HW06）、废矿物油（HW08）、废乳化液（HW09）、精（蒸）馏残渣（HW11）、染料、涂料废物（HW12）、有机树脂类废物（HW13）、表面处理废物（HW17）、含铜废物（HW22）、含锌废物（HW23）、含铅废物（HW31）、无机氟化物废物（HW32）、有机磷化合物废物（HW37）、含酚废物（HW39）、含有机卤化物废物（HW45）、含钡废物（HW47）、其他废物（HW49，仅限309-001-49、900-039-49、900-040-49、900-041-49、900-042-49、900-046-49、900-047-49、900-999-49），合计27000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3" w:type="pct"/>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2</w:t>
                  </w:r>
                </w:p>
              </w:tc>
              <w:tc>
                <w:tcPr>
                  <w:tcW w:w="58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无锡众合再生资源利用有限公司</w:t>
                  </w:r>
                </w:p>
              </w:tc>
              <w:tc>
                <w:tcPr>
                  <w:tcW w:w="58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无锡滨湖区胡埭工业园北区陆藕路15号</w:t>
                  </w:r>
                </w:p>
              </w:tc>
              <w:tc>
                <w:tcPr>
                  <w:tcW w:w="118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JS0200OOD464-5</w:t>
                  </w:r>
                </w:p>
              </w:tc>
              <w:tc>
                <w:tcPr>
                  <w:tcW w:w="237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废矿物油（HW08）1000吨/年（不含污泥、浮渣等固状废物）、油/水、烃/水混合物或乳化液（HW09）10000吨/年、废酸（HW34）600吨/年。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3" w:type="pct"/>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3</w:t>
                  </w:r>
                </w:p>
              </w:tc>
              <w:tc>
                <w:tcPr>
                  <w:tcW w:w="58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无锡市工业废物安全处置有限公司</w:t>
                  </w:r>
                </w:p>
              </w:tc>
              <w:tc>
                <w:tcPr>
                  <w:tcW w:w="58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无锡市青龙山村(桃花山)</w:t>
                  </w:r>
                </w:p>
              </w:tc>
              <w:tc>
                <w:tcPr>
                  <w:tcW w:w="118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JS0200OOI032-14</w:t>
                  </w:r>
                </w:p>
              </w:tc>
              <w:tc>
                <w:tcPr>
                  <w:tcW w:w="237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废矿物油与含矿物油废物（HW08）、油/水、烃/水混合物或乳化液（HW09）、其他废物[仅限化工行业生产过程中产生的废活性炭（900-039-49）等共2.3万吨/年；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3" w:type="pct"/>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4</w:t>
                  </w:r>
                </w:p>
              </w:tc>
              <w:tc>
                <w:tcPr>
                  <w:tcW w:w="58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无锡中天固废处置有限公司</w:t>
                  </w:r>
                </w:p>
              </w:tc>
              <w:tc>
                <w:tcPr>
                  <w:tcW w:w="58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无锡市新区鸿山镇环鸿东路9号</w:t>
                  </w:r>
                </w:p>
              </w:tc>
              <w:tc>
                <w:tcPr>
                  <w:tcW w:w="118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JS0200OOD379-9</w:t>
                  </w:r>
                </w:p>
              </w:tc>
              <w:tc>
                <w:tcPr>
                  <w:tcW w:w="237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处置、利用废有机溶剂与含有机溶剂废物(HW06)、废矿物油与含矿物油废物（HW08）、油/水、烃/水混合物或乳化液（HW09）、废酸（HW34）、废碱（HW35）、等共计100000吨/年</w:t>
                  </w:r>
                </w:p>
              </w:tc>
            </w:tr>
          </w:tbl>
          <w:p>
            <w:pPr>
              <w:adjustRightInd w:val="0"/>
              <w:snapToGrid w:val="0"/>
              <w:spacing w:line="500" w:lineRule="exact"/>
              <w:ind w:firstLine="480" w:firstLineChars="200"/>
              <w:jc w:val="both"/>
              <w:rPr>
                <w:rFonts w:hint="default" w:ascii="Times New Roman" w:hAnsi="Times New Roman" w:eastAsia="宋体" w:cs="Times New Roman"/>
                <w:snapToGrid w:val="0"/>
                <w:color w:val="auto"/>
                <w:sz w:val="24"/>
                <w:szCs w:val="30"/>
                <w:highlight w:val="none"/>
              </w:rPr>
            </w:pPr>
            <w:r>
              <w:rPr>
                <w:rFonts w:hint="default" w:ascii="Times New Roman" w:hAnsi="Times New Roman" w:eastAsia="宋体" w:cs="Times New Roman"/>
                <w:snapToGrid w:val="0"/>
                <w:color w:val="auto"/>
                <w:sz w:val="24"/>
                <w:szCs w:val="30"/>
                <w:highlight w:val="none"/>
              </w:rPr>
              <w:t>综上，本项目固体废物分类收集、分区存放、分别处理处置，实现“零”排放。且各类固体废物产生、收集、暂存、运输、处理处置全过程严格管理，可避免二次污染产生，环境影响极小。</w:t>
            </w:r>
          </w:p>
          <w:p>
            <w:pPr>
              <w:adjustRightInd w:val="0"/>
              <w:snapToGrid w:val="0"/>
              <w:spacing w:line="500" w:lineRule="exact"/>
              <w:ind w:firstLine="482" w:firstLineChars="200"/>
              <w:jc w:val="both"/>
              <w:rPr>
                <w:rFonts w:hint="default" w:ascii="Times New Roman" w:hAnsi="Times New Roman" w:eastAsia="宋体" w:cs="Times New Roman"/>
                <w:b/>
                <w:snapToGrid w:val="0"/>
                <w:color w:val="auto"/>
                <w:sz w:val="24"/>
                <w:szCs w:val="30"/>
                <w:highlight w:val="none"/>
              </w:rPr>
            </w:pPr>
            <w:r>
              <w:rPr>
                <w:rFonts w:hint="default" w:ascii="Times New Roman" w:hAnsi="Times New Roman" w:eastAsia="宋体" w:cs="Times New Roman"/>
                <w:b/>
                <w:snapToGrid w:val="0"/>
                <w:color w:val="auto"/>
                <w:sz w:val="24"/>
                <w:szCs w:val="30"/>
                <w:highlight w:val="none"/>
              </w:rPr>
              <w:t>（4）固体废物污染防治措施及管理要求</w:t>
            </w:r>
          </w:p>
          <w:p>
            <w:pPr>
              <w:widowControl/>
              <w:adjustRightInd w:val="0"/>
              <w:snapToGrid w:val="0"/>
              <w:spacing w:line="500" w:lineRule="exact"/>
              <w:ind w:firstLine="482" w:firstLineChars="200"/>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1）本项目固体废物污染防治措施</w:t>
            </w:r>
          </w:p>
          <w:p>
            <w:pPr>
              <w:widowControl/>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①一般工业固废污染防治措施</w:t>
            </w:r>
          </w:p>
          <w:p>
            <w:pPr>
              <w:widowControl/>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新增一般工业固废均为固态物质，分类收集暂存在一般工业固废暂存区域内，定期由废品回收商回收。固废产生、入库、回收出库等过程均应做好台账记录，记录清楚固废的产生量、储存量、回收量、回收去向等基本信息。</w:t>
            </w:r>
          </w:p>
          <w:p>
            <w:pPr>
              <w:widowControl/>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②生活垃圾污染防治措施</w:t>
            </w:r>
          </w:p>
          <w:p>
            <w:pPr>
              <w:widowControl/>
              <w:adjustRightInd w:val="0"/>
              <w:snapToGrid w:val="0"/>
              <w:spacing w:line="500" w:lineRule="exact"/>
              <w:ind w:firstLine="458" w:firstLineChars="191"/>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本项目新增生活垃圾在厂区内的收集和暂存依托现有设施，由环卫部门统一清运，生活垃圾集中收集转移区域应做好防蚊虫、放雨淋、防臭等措施，做到日产日清。</w:t>
            </w:r>
          </w:p>
          <w:p>
            <w:pPr>
              <w:widowControl/>
              <w:numPr>
                <w:ilvl w:val="0"/>
                <w:numId w:val="12"/>
              </w:numPr>
              <w:adjustRightInd w:val="0"/>
              <w:snapToGrid w:val="0"/>
              <w:spacing w:line="500" w:lineRule="exact"/>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危险废物污染防治措施</w:t>
            </w:r>
          </w:p>
          <w:p>
            <w:pPr>
              <w:widowControl/>
              <w:adjustRightInd w:val="0"/>
              <w:snapToGrid w:val="0"/>
              <w:spacing w:line="500" w:lineRule="exact"/>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本项目新增危险废物为</w:t>
            </w:r>
            <w:r>
              <w:rPr>
                <w:rFonts w:hint="eastAsia" w:cs="Times New Roman"/>
                <w:color w:val="auto"/>
                <w:sz w:val="24"/>
                <w:highlight w:val="none"/>
                <w:lang w:val="en-US" w:eastAsia="zh-CN"/>
              </w:rPr>
              <w:t>表面处理废液</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化学品容器</w:t>
            </w:r>
            <w:r>
              <w:rPr>
                <w:rFonts w:hint="default" w:ascii="Times New Roman" w:hAnsi="Times New Roman" w:eastAsia="宋体" w:cs="Times New Roman"/>
                <w:color w:val="auto"/>
                <w:sz w:val="24"/>
                <w:highlight w:val="none"/>
              </w:rPr>
              <w:t>、废水处理污泥</w:t>
            </w:r>
            <w:r>
              <w:rPr>
                <w:rFonts w:hint="eastAsia" w:cs="Times New Roman"/>
                <w:color w:val="auto"/>
                <w:sz w:val="24"/>
                <w:highlight w:val="none"/>
                <w:lang w:eastAsia="zh-CN"/>
              </w:rPr>
              <w:t>、</w:t>
            </w:r>
            <w:r>
              <w:rPr>
                <w:rFonts w:hint="eastAsia" w:cs="Times New Roman"/>
                <w:color w:val="auto"/>
                <w:sz w:val="24"/>
                <w:highlight w:val="none"/>
                <w:lang w:val="en-US" w:eastAsia="zh-CN"/>
              </w:rPr>
              <w:t>浓缩废液、离心分离和超滤废液</w:t>
            </w:r>
            <w:r>
              <w:rPr>
                <w:rFonts w:hint="default" w:ascii="Times New Roman" w:hAnsi="Times New Roman" w:eastAsia="宋体" w:cs="Times New Roman"/>
                <w:color w:val="auto"/>
                <w:sz w:val="24"/>
                <w:highlight w:val="none"/>
              </w:rPr>
              <w:t>等，包括固态和液态的危险废</w:t>
            </w:r>
            <w:r>
              <w:rPr>
                <w:rFonts w:hint="default" w:ascii="Times New Roman" w:hAnsi="Times New Roman" w:eastAsia="宋体" w:cs="Times New Roman"/>
                <w:color w:val="auto"/>
                <w:sz w:val="24"/>
                <w:highlight w:val="none"/>
                <w:lang w:val="en-US" w:eastAsia="zh-CN"/>
              </w:rPr>
              <w:t>物。</w:t>
            </w:r>
            <w:r>
              <w:rPr>
                <w:rFonts w:hint="eastAsia" w:ascii="Times New Roman" w:hAnsi="Times New Roman" w:eastAsia="宋体" w:cs="Times New Roman"/>
                <w:color w:val="auto"/>
                <w:sz w:val="24"/>
                <w:highlight w:val="none"/>
                <w:lang w:val="en-US" w:eastAsia="zh-CN"/>
              </w:rPr>
              <w:t>本项目产生的危险废物均在厂区的货架内分类、分区储存。结合货架结构特点，新增废气治理设施有较大安全隐患，为减少废气产生，液态危险废物及固态危险废采用桶装、加盖、包装再缠绕塑料膜等方式，规范化收集、贮存后，危废仓库基本无废气产生，对周围影响忽略不计。</w:t>
            </w:r>
          </w:p>
          <w:p>
            <w:pPr>
              <w:widowControl/>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建设单位危废暂存区由</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间危废暂存仓库分类收集暂存，危废仓库均采用不锈钢箱式结构，底部设置泄漏收集设施并配备空置容器和导出龙头等设施，可有效收集泄漏废液。危废仓库设置防雨、防火、防雷、防扬尘、防渗漏及泄漏液体收集装置。本项目新增产生的少量危险废物依托现有仓库和存储设施存储，在仓库容纳范围内。</w:t>
            </w:r>
          </w:p>
          <w:p>
            <w:pPr>
              <w:widowControl/>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本项目危废产生特点及污染防治措施如下：</w:t>
            </w:r>
          </w:p>
          <w:p>
            <w:pPr>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表4-</w:t>
            </w:r>
            <w:r>
              <w:rPr>
                <w:rFonts w:hint="default" w:ascii="Times New Roman" w:hAnsi="Times New Roman" w:eastAsia="宋体" w:cs="Times New Roman"/>
                <w:b/>
                <w:bCs/>
                <w:color w:val="auto"/>
                <w:sz w:val="24"/>
                <w:szCs w:val="22"/>
                <w:highlight w:val="none"/>
                <w:lang w:val="en-US" w:eastAsia="zh-CN"/>
              </w:rPr>
              <w:t>1</w:t>
            </w:r>
            <w:r>
              <w:rPr>
                <w:rFonts w:hint="eastAsia" w:cs="Times New Roman"/>
                <w:b/>
                <w:bCs/>
                <w:color w:val="auto"/>
                <w:sz w:val="24"/>
                <w:szCs w:val="22"/>
                <w:highlight w:val="none"/>
                <w:lang w:val="en-US" w:eastAsia="zh-CN"/>
              </w:rPr>
              <w:t>2</w:t>
            </w:r>
            <w:r>
              <w:rPr>
                <w:rFonts w:hint="default" w:ascii="Times New Roman" w:hAnsi="Times New Roman" w:eastAsia="宋体" w:cs="Times New Roman"/>
                <w:b/>
                <w:bCs/>
                <w:color w:val="auto"/>
                <w:sz w:val="24"/>
                <w:szCs w:val="22"/>
                <w:highlight w:val="none"/>
              </w:rPr>
              <w:t xml:space="preserve">  本项目危废贮存设施贮存能力一览表</w:t>
            </w:r>
          </w:p>
          <w:tbl>
            <w:tblPr>
              <w:tblStyle w:val="21"/>
              <w:tblW w:w="5000" w:type="pct"/>
              <w:tblInd w:w="0" w:type="dxa"/>
              <w:tblBorders>
                <w:top w:val="single" w:color="231F20" w:sz="12" w:space="0"/>
                <w:left w:val="none" w:color="auto" w:sz="0" w:space="0"/>
                <w:bottom w:val="single" w:color="231F20" w:sz="12" w:space="0"/>
                <w:right w:val="none" w:color="auto" w:sz="0" w:space="0"/>
                <w:insideH w:val="single" w:color="231F20" w:sz="6" w:space="0"/>
                <w:insideV w:val="single" w:color="231F20" w:sz="6" w:space="0"/>
              </w:tblBorders>
              <w:tblLayout w:type="autofit"/>
              <w:tblCellMar>
                <w:top w:w="0" w:type="dxa"/>
                <w:left w:w="0" w:type="dxa"/>
                <w:bottom w:w="0" w:type="dxa"/>
                <w:right w:w="0" w:type="dxa"/>
              </w:tblCellMar>
            </w:tblPr>
            <w:tblGrid>
              <w:gridCol w:w="534"/>
              <w:gridCol w:w="2055"/>
              <w:gridCol w:w="867"/>
              <w:gridCol w:w="1029"/>
              <w:gridCol w:w="1634"/>
              <w:gridCol w:w="837"/>
              <w:gridCol w:w="1170"/>
              <w:gridCol w:w="680"/>
            </w:tblGrid>
            <w:tr>
              <w:tblPrEx>
                <w:tblBorders>
                  <w:top w:val="single" w:color="231F20" w:sz="12" w:space="0"/>
                  <w:left w:val="none" w:color="auto" w:sz="0" w:space="0"/>
                  <w:bottom w:val="single" w:color="231F20" w:sz="12" w:space="0"/>
                  <w:right w:val="none" w:color="auto" w:sz="0" w:space="0"/>
                  <w:insideH w:val="single" w:color="231F20" w:sz="6" w:space="0"/>
                  <w:insideV w:val="single" w:color="231F20" w:sz="6" w:space="0"/>
                </w:tblBorders>
                <w:tblCellMar>
                  <w:top w:w="0" w:type="dxa"/>
                  <w:left w:w="0" w:type="dxa"/>
                  <w:bottom w:w="0" w:type="dxa"/>
                  <w:right w:w="0" w:type="dxa"/>
                </w:tblCellMar>
              </w:tblPrEx>
              <w:tc>
                <w:tcPr>
                  <w:tcW w:w="303" w:type="pct"/>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w:t>
                  </w:r>
                </w:p>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号</w:t>
                  </w:r>
                </w:p>
              </w:tc>
              <w:tc>
                <w:tcPr>
                  <w:tcW w:w="1166" w:type="pct"/>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危废名称</w:t>
                  </w:r>
                </w:p>
              </w:tc>
              <w:tc>
                <w:tcPr>
                  <w:tcW w:w="492" w:type="pct"/>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形态</w:t>
                  </w:r>
                </w:p>
              </w:tc>
              <w:tc>
                <w:tcPr>
                  <w:tcW w:w="584" w:type="pct"/>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产生量</w:t>
                  </w:r>
                </w:p>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(t/a)</w:t>
                  </w:r>
                </w:p>
              </w:tc>
              <w:tc>
                <w:tcPr>
                  <w:tcW w:w="927" w:type="pct"/>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贮存方式</w:t>
                  </w:r>
                </w:p>
              </w:tc>
              <w:tc>
                <w:tcPr>
                  <w:tcW w:w="475" w:type="pct"/>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最大储</w:t>
                  </w:r>
                </w:p>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存能力</w:t>
                  </w:r>
                </w:p>
              </w:tc>
              <w:tc>
                <w:tcPr>
                  <w:tcW w:w="664" w:type="pct"/>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最大储</w:t>
                  </w:r>
                </w:p>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存期限</w:t>
                  </w:r>
                </w:p>
              </w:tc>
              <w:tc>
                <w:tcPr>
                  <w:tcW w:w="386" w:type="pct"/>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贮存</w:t>
                  </w:r>
                </w:p>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面积</w:t>
                  </w:r>
                </w:p>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(m</w:t>
                  </w:r>
                  <w:r>
                    <w:rPr>
                      <w:rFonts w:hint="default" w:ascii="Times New Roman" w:hAnsi="Times New Roman" w:eastAsia="宋体" w:cs="Times New Roman"/>
                      <w:b/>
                      <w:bCs/>
                      <w:color w:val="auto"/>
                      <w:szCs w:val="21"/>
                      <w:highlight w:val="none"/>
                      <w:vertAlign w:val="superscript"/>
                    </w:rPr>
                    <w:t>2</w:t>
                  </w:r>
                  <w:r>
                    <w:rPr>
                      <w:rFonts w:hint="default" w:ascii="Times New Roman" w:hAnsi="Times New Roman" w:eastAsia="宋体" w:cs="Times New Roman"/>
                      <w:b/>
                      <w:bCs/>
                      <w:color w:val="auto"/>
                      <w:szCs w:val="21"/>
                      <w:highlight w:val="none"/>
                    </w:rPr>
                    <w:t>)</w:t>
                  </w:r>
                </w:p>
              </w:tc>
            </w:tr>
            <w:tr>
              <w:tblPrEx>
                <w:tblBorders>
                  <w:top w:val="single" w:color="231F20" w:sz="12" w:space="0"/>
                  <w:left w:val="none" w:color="auto" w:sz="0" w:space="0"/>
                  <w:bottom w:val="single" w:color="231F20" w:sz="12" w:space="0"/>
                  <w:right w:val="none" w:color="auto" w:sz="0" w:space="0"/>
                  <w:insideH w:val="single" w:color="231F20" w:sz="6" w:space="0"/>
                  <w:insideV w:val="single" w:color="231F20" w:sz="6" w:space="0"/>
                </w:tblBorders>
                <w:tblCellMar>
                  <w:top w:w="0" w:type="dxa"/>
                  <w:left w:w="0" w:type="dxa"/>
                  <w:bottom w:w="0" w:type="dxa"/>
                  <w:right w:w="0" w:type="dxa"/>
                </w:tblCellMar>
              </w:tblPrEx>
              <w:trPr>
                <w:trHeight w:val="161" w:hRule="atLeast"/>
              </w:trPr>
              <w:tc>
                <w:tcPr>
                  <w:tcW w:w="303" w:type="pct"/>
                  <w:noWrap w:val="0"/>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1166"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 w:val="20"/>
                      <w:szCs w:val="21"/>
                      <w:highlight w:val="none"/>
                    </w:rPr>
                  </w:pPr>
                  <w:r>
                    <w:rPr>
                      <w:rFonts w:hint="eastAsia" w:cs="Times New Roman"/>
                      <w:color w:val="auto"/>
                      <w:kern w:val="2"/>
                      <w:sz w:val="21"/>
                      <w:szCs w:val="21"/>
                      <w:highlight w:val="none"/>
                      <w:lang w:val="en-US" w:eastAsia="zh-CN" w:bidi="ar-SA"/>
                    </w:rPr>
                    <w:t>废电解液</w:t>
                  </w:r>
                </w:p>
              </w:tc>
              <w:tc>
                <w:tcPr>
                  <w:tcW w:w="492"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18"/>
                      <w:szCs w:val="18"/>
                      <w:highlight w:val="none"/>
                    </w:rPr>
                  </w:pPr>
                  <w:r>
                    <w:rPr>
                      <w:rFonts w:hint="eastAsia" w:cs="Times New Roman"/>
                      <w:color w:val="auto"/>
                      <w:spacing w:val="-10"/>
                      <w:sz w:val="21"/>
                      <w:szCs w:val="21"/>
                      <w:highlight w:val="none"/>
                      <w:lang w:val="en-US" w:eastAsia="zh-CN"/>
                    </w:rPr>
                    <w:t>液态</w:t>
                  </w:r>
                </w:p>
              </w:tc>
              <w:tc>
                <w:tcPr>
                  <w:tcW w:w="584" w:type="pct"/>
                  <w:noWrap w:val="0"/>
                  <w:vAlign w:val="center"/>
                </w:tcPr>
                <w:p>
                  <w:pPr>
                    <w:widowControl/>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kern w:val="0"/>
                      <w:sz w:val="21"/>
                      <w:szCs w:val="21"/>
                      <w:highlight w:val="none"/>
                      <w:lang w:val="en-US" w:eastAsia="zh-CN"/>
                    </w:rPr>
                    <w:t>6.6</w:t>
                  </w:r>
                </w:p>
              </w:tc>
              <w:tc>
                <w:tcPr>
                  <w:tcW w:w="927" w:type="pct"/>
                  <w:noWrap w:val="0"/>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桶装</w:t>
                  </w:r>
                </w:p>
              </w:tc>
              <w:tc>
                <w:tcPr>
                  <w:tcW w:w="475" w:type="pct"/>
                  <w:noWrap w:val="0"/>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lang w:val="en-US" w:eastAsia="zh-CN"/>
                    </w:rPr>
                    <w:t>t</w:t>
                  </w:r>
                </w:p>
              </w:tc>
              <w:tc>
                <w:tcPr>
                  <w:tcW w:w="664" w:type="pct"/>
                  <w:noWrap w:val="0"/>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个月</w:t>
                  </w:r>
                </w:p>
              </w:tc>
              <w:tc>
                <w:tcPr>
                  <w:tcW w:w="386" w:type="pct"/>
                  <w:vMerge w:val="restart"/>
                  <w:noWrap w:val="0"/>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7个集装箱，每个占地面积18.3</w:t>
                  </w:r>
                  <w:r>
                    <w:rPr>
                      <w:rFonts w:hint="default" w:ascii="Times New Roman" w:hAnsi="Times New Roman" w:eastAsia="宋体" w:cs="Times New Roman"/>
                      <w:b w:val="0"/>
                      <w:bCs w:val="0"/>
                      <w:color w:val="auto"/>
                      <w:szCs w:val="21"/>
                      <w:highlight w:val="none"/>
                      <w:vertAlign w:val="baseline"/>
                    </w:rPr>
                    <w:t>m</w:t>
                  </w:r>
                  <w:r>
                    <w:rPr>
                      <w:rFonts w:hint="default" w:ascii="Times New Roman" w:hAnsi="Times New Roman" w:eastAsia="宋体" w:cs="Times New Roman"/>
                      <w:b w:val="0"/>
                      <w:bCs w:val="0"/>
                      <w:color w:val="auto"/>
                      <w:szCs w:val="21"/>
                      <w:highlight w:val="none"/>
                      <w:vertAlign w:val="superscript"/>
                    </w:rPr>
                    <w:t>2</w:t>
                  </w:r>
                </w:p>
              </w:tc>
            </w:tr>
            <w:tr>
              <w:tblPrEx>
                <w:tblBorders>
                  <w:top w:val="single" w:color="231F20" w:sz="12" w:space="0"/>
                  <w:left w:val="none" w:color="auto" w:sz="0" w:space="0"/>
                  <w:bottom w:val="single" w:color="231F20" w:sz="12" w:space="0"/>
                  <w:right w:val="none" w:color="auto" w:sz="0" w:space="0"/>
                  <w:insideH w:val="single" w:color="231F20" w:sz="6" w:space="0"/>
                  <w:insideV w:val="single" w:color="231F20" w:sz="6" w:space="0"/>
                </w:tblBorders>
                <w:tblCellMar>
                  <w:top w:w="0" w:type="dxa"/>
                  <w:left w:w="0" w:type="dxa"/>
                  <w:bottom w:w="0" w:type="dxa"/>
                  <w:right w:w="0" w:type="dxa"/>
                </w:tblCellMar>
              </w:tblPrEx>
              <w:tc>
                <w:tcPr>
                  <w:tcW w:w="303" w:type="pct"/>
                  <w:noWrap w:val="0"/>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1166"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kern w:val="2"/>
                      <w:sz w:val="20"/>
                      <w:szCs w:val="21"/>
                      <w:highlight w:val="none"/>
                      <w:lang w:val="en-US" w:eastAsia="zh-CN" w:bidi="ar-SA"/>
                    </w:rPr>
                  </w:pPr>
                  <w:r>
                    <w:rPr>
                      <w:rFonts w:hint="eastAsia"/>
                      <w:lang w:val="en-US" w:eastAsia="zh-CN"/>
                    </w:rPr>
                    <w:t>化学品容器</w:t>
                  </w:r>
                </w:p>
              </w:tc>
              <w:tc>
                <w:tcPr>
                  <w:tcW w:w="492"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21"/>
                      <w:szCs w:val="21"/>
                      <w:highlight w:val="none"/>
                    </w:rPr>
                    <w:t>固态</w:t>
                  </w:r>
                </w:p>
              </w:tc>
              <w:tc>
                <w:tcPr>
                  <w:tcW w:w="584" w:type="pct"/>
                  <w:noWrap w:val="0"/>
                  <w:vAlign w:val="center"/>
                </w:tcPr>
                <w:p>
                  <w:pPr>
                    <w:widowControl/>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kern w:val="0"/>
                      <w:sz w:val="21"/>
                      <w:szCs w:val="21"/>
                      <w:highlight w:val="none"/>
                      <w:lang w:val="en-US" w:eastAsia="zh-CN"/>
                    </w:rPr>
                    <w:t>0.31</w:t>
                  </w:r>
                </w:p>
              </w:tc>
              <w:tc>
                <w:tcPr>
                  <w:tcW w:w="927" w:type="pct"/>
                  <w:noWrap w:val="0"/>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密封袋装</w:t>
                  </w:r>
                </w:p>
              </w:tc>
              <w:tc>
                <w:tcPr>
                  <w:tcW w:w="47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 xml:space="preserve">1 </w:t>
                  </w:r>
                  <w:r>
                    <w:rPr>
                      <w:rFonts w:hint="default" w:ascii="Times New Roman" w:hAnsi="Times New Roman" w:eastAsia="宋体" w:cs="Times New Roman"/>
                      <w:color w:val="auto"/>
                      <w:szCs w:val="21"/>
                      <w:highlight w:val="none"/>
                      <w:lang w:val="en-US" w:eastAsia="zh-CN"/>
                    </w:rPr>
                    <w:t>t</w:t>
                  </w:r>
                </w:p>
              </w:tc>
              <w:tc>
                <w:tcPr>
                  <w:tcW w:w="664" w:type="pct"/>
                  <w:noWrap w:val="0"/>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3个月</w:t>
                  </w:r>
                </w:p>
              </w:tc>
              <w:tc>
                <w:tcPr>
                  <w:tcW w:w="386" w:type="pct"/>
                  <w:vMerge w:val="continue"/>
                  <w:noWrap w:val="0"/>
                  <w:vAlign w:val="center"/>
                </w:tcPr>
                <w:p>
                  <w:pPr>
                    <w:snapToGrid w:val="0"/>
                    <w:jc w:val="center"/>
                    <w:rPr>
                      <w:rFonts w:hint="default" w:ascii="Times New Roman" w:hAnsi="Times New Roman" w:eastAsia="宋体" w:cs="Times New Roman"/>
                      <w:color w:val="auto"/>
                      <w:szCs w:val="21"/>
                      <w:highlight w:val="none"/>
                    </w:rPr>
                  </w:pPr>
                </w:p>
              </w:tc>
            </w:tr>
            <w:tr>
              <w:tblPrEx>
                <w:tblBorders>
                  <w:top w:val="single" w:color="231F20" w:sz="12" w:space="0"/>
                  <w:left w:val="none" w:color="auto" w:sz="0" w:space="0"/>
                  <w:bottom w:val="single" w:color="231F20" w:sz="12" w:space="0"/>
                  <w:right w:val="none" w:color="auto" w:sz="0" w:space="0"/>
                  <w:insideH w:val="single" w:color="231F20" w:sz="6" w:space="0"/>
                  <w:insideV w:val="single" w:color="231F20" w:sz="6" w:space="0"/>
                </w:tblBorders>
                <w:tblCellMar>
                  <w:top w:w="0" w:type="dxa"/>
                  <w:left w:w="0" w:type="dxa"/>
                  <w:bottom w:w="0" w:type="dxa"/>
                  <w:right w:w="0" w:type="dxa"/>
                </w:tblCellMar>
              </w:tblPrEx>
              <w:tc>
                <w:tcPr>
                  <w:tcW w:w="303" w:type="pct"/>
                  <w:noWrap w:val="0"/>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1166"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含油废抹布</w:t>
                  </w:r>
                </w:p>
              </w:tc>
              <w:tc>
                <w:tcPr>
                  <w:tcW w:w="492"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固态</w:t>
                  </w:r>
                </w:p>
              </w:tc>
              <w:tc>
                <w:tcPr>
                  <w:tcW w:w="584" w:type="pct"/>
                  <w:noWrap w:val="0"/>
                  <w:vAlign w:val="center"/>
                </w:tcPr>
                <w:p>
                  <w:pPr>
                    <w:widowControl/>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w:t>
                  </w:r>
                </w:p>
              </w:tc>
              <w:tc>
                <w:tcPr>
                  <w:tcW w:w="927" w:type="pct"/>
                  <w:noWrap w:val="0"/>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密封袋装</w:t>
                  </w:r>
                </w:p>
              </w:tc>
              <w:tc>
                <w:tcPr>
                  <w:tcW w:w="475" w:type="pct"/>
                  <w:noWrap w:val="0"/>
                  <w:vAlign w:val="center"/>
                </w:tcPr>
                <w:p>
                  <w:pPr>
                    <w:snapToGrid w:val="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 t</w:t>
                  </w:r>
                </w:p>
              </w:tc>
              <w:tc>
                <w:tcPr>
                  <w:tcW w:w="664" w:type="pct"/>
                  <w:noWrap w:val="0"/>
                  <w:vAlign w:val="center"/>
                </w:tcPr>
                <w:p>
                  <w:pPr>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1个月</w:t>
                  </w:r>
                </w:p>
              </w:tc>
              <w:tc>
                <w:tcPr>
                  <w:tcW w:w="386" w:type="pct"/>
                  <w:vMerge w:val="continue"/>
                  <w:noWrap w:val="0"/>
                  <w:vAlign w:val="center"/>
                </w:tcPr>
                <w:p>
                  <w:pPr>
                    <w:snapToGrid w:val="0"/>
                    <w:jc w:val="center"/>
                    <w:rPr>
                      <w:rFonts w:hint="default" w:ascii="Times New Roman" w:hAnsi="Times New Roman" w:eastAsia="宋体" w:cs="Times New Roman"/>
                      <w:color w:val="auto"/>
                      <w:szCs w:val="21"/>
                      <w:highlight w:val="none"/>
                    </w:rPr>
                  </w:pPr>
                </w:p>
              </w:tc>
            </w:tr>
            <w:tr>
              <w:tblPrEx>
                <w:tblBorders>
                  <w:top w:val="single" w:color="231F20" w:sz="12" w:space="0"/>
                  <w:left w:val="none" w:color="auto" w:sz="0" w:space="0"/>
                  <w:bottom w:val="single" w:color="231F20" w:sz="12" w:space="0"/>
                  <w:right w:val="none" w:color="auto" w:sz="0" w:space="0"/>
                  <w:insideH w:val="single" w:color="231F20" w:sz="6" w:space="0"/>
                  <w:insideV w:val="single" w:color="231F20" w:sz="6" w:space="0"/>
                </w:tblBorders>
                <w:tblCellMar>
                  <w:top w:w="0" w:type="dxa"/>
                  <w:left w:w="0" w:type="dxa"/>
                  <w:bottom w:w="0" w:type="dxa"/>
                  <w:right w:w="0" w:type="dxa"/>
                </w:tblCellMar>
              </w:tblPrEx>
              <w:tc>
                <w:tcPr>
                  <w:tcW w:w="303" w:type="pct"/>
                  <w:noWrap w:val="0"/>
                  <w:vAlign w:val="center"/>
                </w:tcPr>
                <w:p>
                  <w:pPr>
                    <w:snapToGrid w:val="0"/>
                    <w:jc w:val="center"/>
                    <w:rPr>
                      <w:rFonts w:hint="default"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4</w:t>
                  </w:r>
                </w:p>
              </w:tc>
              <w:tc>
                <w:tcPr>
                  <w:tcW w:w="1166"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kern w:val="2"/>
                      <w:sz w:val="20"/>
                      <w:szCs w:val="21"/>
                      <w:highlight w:val="none"/>
                      <w:lang w:val="en-US" w:eastAsia="zh-CN" w:bidi="ar-SA"/>
                    </w:rPr>
                  </w:pPr>
                  <w:r>
                    <w:rPr>
                      <w:rFonts w:hint="default" w:ascii="Times New Roman" w:hAnsi="Times New Roman" w:eastAsia="宋体" w:cs="Times New Roman"/>
                      <w:color w:val="auto"/>
                      <w:szCs w:val="21"/>
                      <w:highlight w:val="none"/>
                      <w:lang w:val="en-US" w:eastAsia="zh-CN"/>
                    </w:rPr>
                    <w:t>浓缩废液</w:t>
                  </w:r>
                </w:p>
              </w:tc>
              <w:tc>
                <w:tcPr>
                  <w:tcW w:w="492"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21"/>
                      <w:szCs w:val="21"/>
                      <w:highlight w:val="none"/>
                      <w:lang w:val="en-US" w:eastAsia="zh-CN"/>
                    </w:rPr>
                    <w:t>液态</w:t>
                  </w:r>
                </w:p>
              </w:tc>
              <w:tc>
                <w:tcPr>
                  <w:tcW w:w="584" w:type="pct"/>
                  <w:noWrap w:val="0"/>
                  <w:vAlign w:val="center"/>
                </w:tcPr>
                <w:p>
                  <w:pPr>
                    <w:widowControl/>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kern w:val="0"/>
                      <w:sz w:val="21"/>
                      <w:szCs w:val="21"/>
                      <w:highlight w:val="none"/>
                      <w:lang w:val="en-US" w:eastAsia="zh-CN"/>
                    </w:rPr>
                    <w:t>155.32</w:t>
                  </w:r>
                </w:p>
              </w:tc>
              <w:tc>
                <w:tcPr>
                  <w:tcW w:w="927"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桶装</w:t>
                  </w:r>
                </w:p>
              </w:tc>
              <w:tc>
                <w:tcPr>
                  <w:tcW w:w="47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 t</w:t>
                  </w:r>
                </w:p>
              </w:tc>
              <w:tc>
                <w:tcPr>
                  <w:tcW w:w="664" w:type="pct"/>
                  <w:noWrap w:val="0"/>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半个月</w:t>
                  </w:r>
                </w:p>
              </w:tc>
              <w:tc>
                <w:tcPr>
                  <w:tcW w:w="386" w:type="pct"/>
                  <w:vMerge w:val="continue"/>
                  <w:noWrap w:val="0"/>
                  <w:vAlign w:val="center"/>
                </w:tcPr>
                <w:p>
                  <w:pPr>
                    <w:snapToGrid w:val="0"/>
                    <w:jc w:val="center"/>
                    <w:rPr>
                      <w:rFonts w:hint="default" w:ascii="Times New Roman" w:hAnsi="Times New Roman" w:eastAsia="宋体" w:cs="Times New Roman"/>
                      <w:color w:val="auto"/>
                      <w:szCs w:val="21"/>
                      <w:highlight w:val="none"/>
                    </w:rPr>
                  </w:pPr>
                </w:p>
              </w:tc>
            </w:tr>
            <w:tr>
              <w:tblPrEx>
                <w:tblBorders>
                  <w:top w:val="single" w:color="231F20" w:sz="12" w:space="0"/>
                  <w:left w:val="none" w:color="auto" w:sz="0" w:space="0"/>
                  <w:bottom w:val="single" w:color="231F20" w:sz="12" w:space="0"/>
                  <w:right w:val="none" w:color="auto" w:sz="0" w:space="0"/>
                  <w:insideH w:val="single" w:color="231F20" w:sz="6" w:space="0"/>
                  <w:insideV w:val="single" w:color="231F20" w:sz="6" w:space="0"/>
                </w:tblBorders>
                <w:tblCellMar>
                  <w:top w:w="0" w:type="dxa"/>
                  <w:left w:w="0" w:type="dxa"/>
                  <w:bottom w:w="0" w:type="dxa"/>
                  <w:right w:w="0" w:type="dxa"/>
                </w:tblCellMar>
              </w:tblPrEx>
              <w:tc>
                <w:tcPr>
                  <w:tcW w:w="303" w:type="pct"/>
                  <w:noWrap w:val="0"/>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c>
                <w:tcPr>
                  <w:tcW w:w="1166"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sz w:val="20"/>
                      <w:szCs w:val="21"/>
                      <w:highlight w:val="none"/>
                    </w:rPr>
                  </w:pPr>
                  <w:r>
                    <w:rPr>
                      <w:rFonts w:hint="default" w:ascii="Times New Roman" w:hAnsi="Times New Roman" w:eastAsia="宋体" w:cs="Times New Roman"/>
                      <w:color w:val="auto"/>
                      <w:szCs w:val="21"/>
                      <w:highlight w:val="none"/>
                      <w:lang w:val="en-US" w:eastAsia="zh-CN"/>
                    </w:rPr>
                    <w:t>离心分离和超滤废液</w:t>
                  </w:r>
                </w:p>
              </w:tc>
              <w:tc>
                <w:tcPr>
                  <w:tcW w:w="492"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21"/>
                      <w:szCs w:val="21"/>
                      <w:highlight w:val="none"/>
                      <w:lang w:val="en-US" w:eastAsia="zh-CN"/>
                    </w:rPr>
                    <w:t>液态</w:t>
                  </w:r>
                </w:p>
              </w:tc>
              <w:tc>
                <w:tcPr>
                  <w:tcW w:w="584" w:type="pct"/>
                  <w:noWrap w:val="0"/>
                  <w:vAlign w:val="center"/>
                </w:tcPr>
                <w:p>
                  <w:pPr>
                    <w:widowControl/>
                    <w:jc w:val="center"/>
                    <w:rPr>
                      <w:rFonts w:hint="default" w:ascii="Times New Roman" w:hAnsi="Times New Roman" w:eastAsia="宋体" w:cs="Times New Roman"/>
                      <w:color w:val="auto"/>
                      <w:sz w:val="20"/>
                      <w:szCs w:val="20"/>
                      <w:highlight w:val="none"/>
                      <w:lang w:val="en-US"/>
                    </w:rPr>
                  </w:pPr>
                  <w:r>
                    <w:rPr>
                      <w:rFonts w:hint="eastAsia" w:ascii="Times New Roman" w:hAnsi="Times New Roman" w:cs="Times New Roman"/>
                      <w:color w:val="auto"/>
                      <w:kern w:val="0"/>
                      <w:sz w:val="21"/>
                      <w:szCs w:val="21"/>
                      <w:highlight w:val="none"/>
                      <w:lang w:val="en-US" w:eastAsia="zh-CN" w:bidi="ar-SA"/>
                    </w:rPr>
                    <w:t>232.88</w:t>
                  </w:r>
                </w:p>
              </w:tc>
              <w:tc>
                <w:tcPr>
                  <w:tcW w:w="927" w:type="pct"/>
                  <w:noWrap w:val="0"/>
                  <w:vAlign w:val="center"/>
                </w:tcPr>
                <w:p>
                  <w:pPr>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桶装</w:t>
                  </w:r>
                </w:p>
              </w:tc>
              <w:tc>
                <w:tcPr>
                  <w:tcW w:w="475" w:type="pct"/>
                  <w:noWrap w:val="0"/>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w:t>
                  </w:r>
                  <w:r>
                    <w:rPr>
                      <w:rFonts w:hint="eastAsia"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lang w:val="en-US" w:eastAsia="zh-CN"/>
                    </w:rPr>
                    <w:t>t</w:t>
                  </w:r>
                </w:p>
              </w:tc>
              <w:tc>
                <w:tcPr>
                  <w:tcW w:w="664" w:type="pct"/>
                  <w:noWrap w:val="0"/>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半个月</w:t>
                  </w:r>
                </w:p>
              </w:tc>
              <w:tc>
                <w:tcPr>
                  <w:tcW w:w="386" w:type="pct"/>
                  <w:vMerge w:val="continue"/>
                  <w:noWrap w:val="0"/>
                  <w:vAlign w:val="center"/>
                </w:tcPr>
                <w:p>
                  <w:pPr>
                    <w:snapToGrid w:val="0"/>
                    <w:jc w:val="center"/>
                    <w:rPr>
                      <w:rFonts w:hint="default" w:ascii="Times New Roman" w:hAnsi="Times New Roman" w:eastAsia="宋体" w:cs="Times New Roman"/>
                      <w:color w:val="auto"/>
                      <w:szCs w:val="21"/>
                      <w:highlight w:val="none"/>
                    </w:rPr>
                  </w:pPr>
                </w:p>
              </w:tc>
            </w:tr>
            <w:tr>
              <w:tblPrEx>
                <w:tblBorders>
                  <w:top w:val="single" w:color="231F20" w:sz="12" w:space="0"/>
                  <w:left w:val="none" w:color="auto" w:sz="0" w:space="0"/>
                  <w:bottom w:val="single" w:color="231F20" w:sz="12" w:space="0"/>
                  <w:right w:val="none" w:color="auto" w:sz="0" w:space="0"/>
                  <w:insideH w:val="single" w:color="231F20" w:sz="6" w:space="0"/>
                  <w:insideV w:val="single" w:color="231F20" w:sz="6" w:space="0"/>
                </w:tblBorders>
              </w:tblPrEx>
              <w:tc>
                <w:tcPr>
                  <w:tcW w:w="303" w:type="pct"/>
                  <w:noWrap w:val="0"/>
                  <w:vAlign w:val="center"/>
                </w:tcPr>
                <w:p>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w:t>
                  </w:r>
                </w:p>
              </w:tc>
              <w:tc>
                <w:tcPr>
                  <w:tcW w:w="1166" w:type="pct"/>
                  <w:noWrap w:val="0"/>
                  <w:vAlign w:val="center"/>
                </w:tcPr>
                <w:p>
                  <w:pPr>
                    <w:autoSpaceDE w:val="0"/>
                    <w:autoSpaceDN w:val="0"/>
                    <w:adjustRightInd w:val="0"/>
                    <w:snapToGrid w:val="0"/>
                    <w:spacing w:line="0" w:lineRule="atLeast"/>
                    <w:jc w:val="center"/>
                    <w:rPr>
                      <w:rFonts w:hint="default" w:ascii="Times New Roman" w:hAnsi="Times New Roman" w:eastAsia="宋体" w:cs="Times New Roman"/>
                      <w:color w:val="auto"/>
                      <w:kern w:val="2"/>
                      <w:sz w:val="20"/>
                      <w:szCs w:val="21"/>
                      <w:highlight w:val="none"/>
                      <w:lang w:val="en-US" w:eastAsia="zh-CN" w:bidi="ar-SA"/>
                    </w:rPr>
                  </w:pPr>
                  <w:r>
                    <w:rPr>
                      <w:rFonts w:hint="default" w:ascii="Times New Roman" w:hAnsi="Times New Roman" w:eastAsia="宋体" w:cs="Times New Roman"/>
                      <w:color w:val="auto"/>
                      <w:szCs w:val="21"/>
                      <w:highlight w:val="none"/>
                    </w:rPr>
                    <w:t>污泥</w:t>
                  </w:r>
                </w:p>
              </w:tc>
              <w:tc>
                <w:tcPr>
                  <w:tcW w:w="492"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kern w:val="2"/>
                      <w:sz w:val="18"/>
                      <w:szCs w:val="18"/>
                      <w:highlight w:val="none"/>
                      <w:lang w:val="en-US" w:eastAsia="zh-CN" w:bidi="ar-SA"/>
                    </w:rPr>
                  </w:pPr>
                  <w:r>
                    <w:rPr>
                      <w:rFonts w:hint="default" w:ascii="Times New Roman" w:hAnsi="Times New Roman" w:eastAsia="宋体" w:cs="Times New Roman"/>
                      <w:color w:val="auto"/>
                      <w:spacing w:val="-10"/>
                      <w:sz w:val="21"/>
                      <w:szCs w:val="21"/>
                      <w:highlight w:val="none"/>
                    </w:rPr>
                    <w:t>固态</w:t>
                  </w:r>
                </w:p>
              </w:tc>
              <w:tc>
                <w:tcPr>
                  <w:tcW w:w="584" w:type="pct"/>
                  <w:noWrap w:val="0"/>
                  <w:vAlign w:val="center"/>
                </w:tcPr>
                <w:p>
                  <w:pPr>
                    <w:widowControl/>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kern w:val="0"/>
                      <w:sz w:val="21"/>
                      <w:szCs w:val="21"/>
                      <w:highlight w:val="none"/>
                      <w:lang w:val="en-US" w:eastAsia="zh-CN"/>
                    </w:rPr>
                    <w:t>37.2</w:t>
                  </w:r>
                </w:p>
              </w:tc>
              <w:tc>
                <w:tcPr>
                  <w:tcW w:w="927" w:type="pct"/>
                  <w:noWrap w:val="0"/>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密封袋装</w:t>
                  </w:r>
                </w:p>
              </w:tc>
              <w:tc>
                <w:tcPr>
                  <w:tcW w:w="47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r>
                    <w:rPr>
                      <w:rFonts w:hint="eastAsia" w:cs="Times New Roman"/>
                      <w:color w:val="auto"/>
                      <w:kern w:val="2"/>
                      <w:sz w:val="21"/>
                      <w:szCs w:val="21"/>
                      <w:highlight w:val="none"/>
                      <w:lang w:val="en-US" w:eastAsia="zh-CN" w:bidi="ar-SA"/>
                    </w:rPr>
                    <w:t xml:space="preserve"> </w:t>
                  </w:r>
                  <w:r>
                    <w:rPr>
                      <w:rFonts w:hint="default" w:ascii="Times New Roman" w:hAnsi="Times New Roman" w:eastAsia="宋体" w:cs="Times New Roman"/>
                      <w:color w:val="auto"/>
                      <w:kern w:val="2"/>
                      <w:sz w:val="21"/>
                      <w:szCs w:val="21"/>
                      <w:highlight w:val="none"/>
                      <w:lang w:val="en-US" w:eastAsia="zh-CN" w:bidi="ar-SA"/>
                    </w:rPr>
                    <w:t>t</w:t>
                  </w:r>
                </w:p>
              </w:tc>
              <w:tc>
                <w:tcPr>
                  <w:tcW w:w="664" w:type="pct"/>
                  <w:noWrap w:val="0"/>
                  <w:vAlign w:val="center"/>
                </w:tcPr>
                <w:p>
                  <w:pPr>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个月</w:t>
                  </w:r>
                </w:p>
              </w:tc>
              <w:tc>
                <w:tcPr>
                  <w:tcW w:w="386" w:type="pct"/>
                  <w:vMerge w:val="continue"/>
                  <w:noWrap w:val="0"/>
                  <w:vAlign w:val="center"/>
                </w:tcPr>
                <w:p>
                  <w:pPr>
                    <w:snapToGrid w:val="0"/>
                    <w:jc w:val="center"/>
                    <w:rPr>
                      <w:rFonts w:hint="default" w:ascii="Times New Roman" w:hAnsi="Times New Roman" w:eastAsia="宋体" w:cs="Times New Roman"/>
                      <w:color w:val="auto"/>
                      <w:szCs w:val="21"/>
                      <w:highlight w:val="none"/>
                    </w:rPr>
                  </w:pPr>
                </w:p>
              </w:tc>
            </w:tr>
            <w:tr>
              <w:tblPrEx>
                <w:tblBorders>
                  <w:top w:val="single" w:color="231F20" w:sz="12" w:space="0"/>
                  <w:left w:val="none" w:color="auto" w:sz="0" w:space="0"/>
                  <w:bottom w:val="single" w:color="231F20" w:sz="12" w:space="0"/>
                  <w:right w:val="none" w:color="auto" w:sz="0" w:space="0"/>
                  <w:insideH w:val="single" w:color="231F20" w:sz="6" w:space="0"/>
                  <w:insideV w:val="single" w:color="231F20" w:sz="6" w:space="0"/>
                </w:tblBorders>
                <w:tblCellMar>
                  <w:top w:w="0" w:type="dxa"/>
                  <w:left w:w="0" w:type="dxa"/>
                  <w:bottom w:w="0" w:type="dxa"/>
                  <w:right w:w="0" w:type="dxa"/>
                </w:tblCellMar>
              </w:tblPrEx>
              <w:tc>
                <w:tcPr>
                  <w:tcW w:w="303" w:type="pct"/>
                  <w:noWrap w:val="0"/>
                  <w:vAlign w:val="center"/>
                </w:tcPr>
                <w:p>
                  <w:pPr>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7</w:t>
                  </w:r>
                </w:p>
              </w:tc>
              <w:tc>
                <w:tcPr>
                  <w:tcW w:w="1166" w:type="pct"/>
                  <w:noWrap w:val="0"/>
                  <w:vAlign w:val="center"/>
                </w:tcPr>
                <w:p>
                  <w:pPr>
                    <w:autoSpaceDE w:val="0"/>
                    <w:autoSpaceDN w:val="0"/>
                    <w:adjustRightInd w:val="0"/>
                    <w:snapToGrid w:val="0"/>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废过滤材料</w:t>
                  </w:r>
                </w:p>
              </w:tc>
              <w:tc>
                <w:tcPr>
                  <w:tcW w:w="492" w:type="pct"/>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固态</w:t>
                  </w:r>
                </w:p>
              </w:tc>
              <w:tc>
                <w:tcPr>
                  <w:tcW w:w="584" w:type="pct"/>
                  <w:noWrap w:val="0"/>
                  <w:vAlign w:val="center"/>
                </w:tcPr>
                <w:p>
                  <w:pPr>
                    <w:widowControl/>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w:t>
                  </w:r>
                </w:p>
              </w:tc>
              <w:tc>
                <w:tcPr>
                  <w:tcW w:w="927" w:type="pct"/>
                  <w:noWrap w:val="0"/>
                  <w:vAlign w:val="center"/>
                </w:tcPr>
                <w:p>
                  <w:pPr>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密封袋装</w:t>
                  </w:r>
                </w:p>
              </w:tc>
              <w:tc>
                <w:tcPr>
                  <w:tcW w:w="475" w:type="pct"/>
                  <w:noWrap w:val="0"/>
                  <w:vAlign w:val="center"/>
                </w:tcPr>
                <w:p>
                  <w:pPr>
                    <w:snapToGrid w:val="0"/>
                    <w:jc w:val="center"/>
                    <w:rPr>
                      <w:rFonts w:hint="default"/>
                      <w:lang w:val="en-US" w:eastAsia="zh-CN"/>
                    </w:rPr>
                  </w:pPr>
                  <w:r>
                    <w:rPr>
                      <w:rFonts w:hint="eastAsia"/>
                      <w:lang w:val="en-US" w:eastAsia="zh-CN"/>
                    </w:rPr>
                    <w:t>0.5 t</w:t>
                  </w:r>
                </w:p>
              </w:tc>
              <w:tc>
                <w:tcPr>
                  <w:tcW w:w="664" w:type="pct"/>
                  <w:noWrap w:val="0"/>
                  <w:vAlign w:val="center"/>
                </w:tcPr>
                <w:p>
                  <w:pPr>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个月</w:t>
                  </w:r>
                </w:p>
              </w:tc>
              <w:tc>
                <w:tcPr>
                  <w:tcW w:w="386" w:type="pct"/>
                  <w:vMerge w:val="continue"/>
                  <w:noWrap w:val="0"/>
                  <w:vAlign w:val="center"/>
                </w:tcPr>
                <w:p>
                  <w:pPr>
                    <w:snapToGrid w:val="0"/>
                    <w:jc w:val="center"/>
                    <w:rPr>
                      <w:rFonts w:hint="default" w:ascii="Times New Roman" w:hAnsi="Times New Roman" w:eastAsia="宋体" w:cs="Times New Roman"/>
                      <w:color w:val="auto"/>
                      <w:szCs w:val="21"/>
                      <w:highlight w:val="none"/>
                    </w:rPr>
                  </w:pPr>
                </w:p>
              </w:tc>
            </w:tr>
          </w:tbl>
          <w:p>
            <w:pPr>
              <w:widowControl/>
              <w:adjustRightInd w:val="0"/>
              <w:snapToGrid w:val="0"/>
              <w:spacing w:line="500" w:lineRule="exact"/>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rPr>
              <w:t>2）固体废物</w:t>
            </w:r>
            <w:r>
              <w:rPr>
                <w:rFonts w:hint="default" w:ascii="Times New Roman" w:hAnsi="Times New Roman" w:eastAsia="宋体" w:cs="Times New Roman"/>
                <w:b/>
                <w:bCs/>
                <w:color w:val="auto"/>
                <w:sz w:val="24"/>
                <w:highlight w:val="none"/>
              </w:rPr>
              <w:t>安全贮存技术要求</w:t>
            </w:r>
          </w:p>
          <w:p>
            <w:pPr>
              <w:pStyle w:val="62"/>
              <w:adjustRightInd w:val="0"/>
              <w:snapToGrid w:val="0"/>
              <w:spacing w:line="500" w:lineRule="exact"/>
              <w:ind w:firstLine="482"/>
              <w:jc w:val="both"/>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rPr>
              <w:t>一般工业固废</w:t>
            </w:r>
            <w:r>
              <w:rPr>
                <w:rFonts w:hint="default" w:ascii="Times New Roman" w:hAnsi="Times New Roman" w:eastAsia="宋体" w:cs="Times New Roman"/>
                <w:color w:val="auto"/>
                <w:highlight w:val="none"/>
              </w:rPr>
              <w:t>：</w:t>
            </w:r>
          </w:p>
          <w:p>
            <w:pPr>
              <w:pStyle w:val="62"/>
              <w:adjustRightInd w:val="0"/>
              <w:snapToGrid w:val="0"/>
              <w:spacing w:line="500" w:lineRule="exact"/>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highlight w:val="none"/>
              </w:rPr>
              <w:t>①要</w:t>
            </w:r>
            <w:r>
              <w:rPr>
                <w:rFonts w:hint="default" w:ascii="Times New Roman" w:hAnsi="Times New Roman" w:eastAsia="宋体" w:cs="Times New Roman"/>
                <w:color w:val="auto"/>
                <w:kern w:val="2"/>
                <w:highlight w:val="none"/>
              </w:rPr>
              <w:t>按照《一般工业固体废物贮存和填埋污染控制标准》（GB 18599-2020相关要求建设，地面基础及内墙采取防渗措施，使用防水混凝土。一般固体废物按照不同的类别和性质，分区堆放。通过规范设置固体废物暂存场，同时建立完善厂内固体废物防范措施和管理制度，可使固体废物在收集、存放过程中对环境的影响降至最低限度。</w:t>
            </w:r>
          </w:p>
          <w:p>
            <w:pPr>
              <w:pStyle w:val="62"/>
              <w:adjustRightInd w:val="0"/>
              <w:snapToGrid w:val="0"/>
              <w:spacing w:line="500" w:lineRule="exact"/>
              <w:ind w:firstLine="482"/>
              <w:jc w:val="both"/>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危险废物：</w:t>
            </w:r>
          </w:p>
          <w:p>
            <w:pPr>
              <w:adjustRightInd w:val="0"/>
              <w:snapToGrid w:val="0"/>
              <w:spacing w:line="50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本项目危险废物贮存</w:t>
            </w:r>
            <w:r>
              <w:rPr>
                <w:rFonts w:hint="default" w:ascii="Times New Roman" w:hAnsi="Times New Roman" w:eastAsia="宋体" w:cs="Times New Roman"/>
                <w:bCs/>
                <w:color w:val="auto"/>
                <w:sz w:val="24"/>
                <w:highlight w:val="none"/>
                <w:lang w:val="en-US" w:eastAsia="zh-CN"/>
              </w:rPr>
              <w:t>利旧新华路厂区的7个集装箱</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集装箱安置区域设计</w:t>
            </w:r>
            <w:r>
              <w:rPr>
                <w:rFonts w:hint="default" w:ascii="Times New Roman" w:hAnsi="Times New Roman" w:eastAsia="宋体" w:cs="Times New Roman"/>
                <w:bCs/>
                <w:color w:val="auto"/>
                <w:sz w:val="24"/>
                <w:highlight w:val="none"/>
              </w:rPr>
              <w:t>满足</w:t>
            </w:r>
            <w:r>
              <w:rPr>
                <w:rFonts w:hint="default" w:ascii="Times New Roman" w:hAnsi="Times New Roman" w:eastAsia="宋体" w:cs="Times New Roman"/>
                <w:color w:val="auto"/>
                <w:sz w:val="24"/>
                <w:highlight w:val="none"/>
              </w:rPr>
              <w:t>《危险废物贮存污染控制标准》(GB18596-2001)，危险废物均分类存放、贮存，并采取防扬散、防流失、防渗漏及其他防止污染环境的措施；</w:t>
            </w:r>
            <w:r>
              <w:rPr>
                <w:rFonts w:hint="default" w:ascii="Times New Roman" w:hAnsi="Times New Roman" w:eastAsia="宋体" w:cs="Times New Roman"/>
                <w:bCs/>
                <w:color w:val="auto"/>
                <w:sz w:val="24"/>
                <w:highlight w:val="none"/>
              </w:rPr>
              <w:t>液态危险废物装桶加盖后放在防渗漏托盘上；含挥发性组分的固态危险废物分类装桶加盖存放；其他固态危险废物分类包装后分区存放。仓库地面铺设环氧地坪；危废仓库和各类危险废物包装容器上均设置了危险废物识别标签。同时，建设单位在危险废物全过程管理中应注意以下内容：</w:t>
            </w:r>
          </w:p>
          <w:p>
            <w:pPr>
              <w:pStyle w:val="62"/>
              <w:adjustRightInd w:val="0"/>
              <w:snapToGrid w:val="0"/>
              <w:spacing w:line="500" w:lineRule="exact"/>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①危险废物禁止混入非危险废物中贮存，禁止与旅客在同一运输工具上载运；</w:t>
            </w:r>
          </w:p>
          <w:p>
            <w:pPr>
              <w:pStyle w:val="62"/>
              <w:adjustRightInd w:val="0"/>
              <w:snapToGrid w:val="0"/>
              <w:spacing w:line="500" w:lineRule="exact"/>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②固体废物不得在运输过程中沿途丢弃、遗撒。如将固体废物用防静电的薄膜包装于箱内，再采用专用运输车辆进行运输；</w:t>
            </w:r>
          </w:p>
          <w:p>
            <w:pPr>
              <w:pStyle w:val="62"/>
              <w:adjustRightInd w:val="0"/>
              <w:snapToGrid w:val="0"/>
              <w:spacing w:line="500" w:lineRule="exact"/>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③在包装箱外可设置醒目的危险废物标志，并用明确易懂的中文标明箱内所装为危险废物等等。</w:t>
            </w:r>
          </w:p>
          <w:p>
            <w:pPr>
              <w:widowControl/>
              <w:adjustRightInd w:val="0"/>
              <w:snapToGrid w:val="0"/>
              <w:spacing w:line="500" w:lineRule="exact"/>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3）固废贮存场所设置规范</w:t>
            </w:r>
          </w:p>
          <w:p>
            <w:pPr>
              <w:adjustRightInd w:val="0"/>
              <w:snapToGrid w:val="0"/>
              <w:spacing w:line="500" w:lineRule="exact"/>
              <w:ind w:firstLine="480" w:firstLineChars="200"/>
              <w:jc w:val="both"/>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国家环保总局和江苏省环保厅对排污口规范化整治的要求，建设单位按照《环境保护图形标志—固体废物贮存（处置）场》（GB15562.2-1995）和《省生态环境厅关于进一步加强危险废物污染防治工作的实施意见》（苏环办[2019]327号）的要求设置固体废物堆放场的环境保护标志。本项目危废仓库与苏环办[2019]327号文相符性分析情况见下表4-</w:t>
            </w:r>
            <w:r>
              <w:rPr>
                <w:rFonts w:hint="default" w:ascii="Times New Roman" w:hAnsi="Times New Roman" w:eastAsia="宋体" w:cs="Times New Roman"/>
                <w:color w:val="auto"/>
                <w:kern w:val="0"/>
                <w:sz w:val="24"/>
                <w:highlight w:val="none"/>
                <w:lang w:val="en-US" w:eastAsia="zh-CN"/>
              </w:rPr>
              <w:t>1</w:t>
            </w:r>
            <w:r>
              <w:rPr>
                <w:rFonts w:hint="eastAsia"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rPr>
              <w:t>。</w:t>
            </w:r>
          </w:p>
          <w:p>
            <w:pPr>
              <w:tabs>
                <w:tab w:val="left" w:pos="0"/>
              </w:tabs>
              <w:spacing w:line="500" w:lineRule="exact"/>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1</w:t>
            </w:r>
            <w:r>
              <w:rPr>
                <w:rFonts w:hint="eastAsia" w:cs="Times New Roman"/>
                <w:b/>
                <w:color w:val="auto"/>
                <w:sz w:val="24"/>
                <w:highlight w:val="none"/>
                <w:lang w:val="en-US" w:eastAsia="zh-CN"/>
              </w:rPr>
              <w:t>3</w:t>
            </w:r>
            <w:r>
              <w:rPr>
                <w:rFonts w:hint="default" w:ascii="Times New Roman" w:hAnsi="Times New Roman" w:eastAsia="宋体" w:cs="Times New Roman"/>
                <w:b/>
                <w:color w:val="auto"/>
                <w:sz w:val="24"/>
                <w:highlight w:val="none"/>
              </w:rPr>
              <w:t xml:space="preserve">   贮存设施建设要求</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86"/>
              <w:gridCol w:w="4050"/>
              <w:gridCol w:w="2972"/>
              <w:gridCol w:w="10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7"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2168"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贮存设施建设要求</w:t>
                  </w:r>
                </w:p>
              </w:tc>
              <w:tc>
                <w:tcPr>
                  <w:tcW w:w="1591"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本项目拟实施情况</w:t>
                  </w:r>
                </w:p>
              </w:tc>
              <w:tc>
                <w:tcPr>
                  <w:tcW w:w="588"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7"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lang w:val="en-US" w:eastAsia="zh-CN"/>
                    </w:rPr>
                    <w:t>1</w:t>
                  </w:r>
                </w:p>
              </w:tc>
              <w:tc>
                <w:tcPr>
                  <w:tcW w:w="2168"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rPr>
                    <w:t>对建设项目危险废物种类、数量、属 性、贮存设施、利用或处置方式进行科学分析</w:t>
                  </w:r>
                </w:p>
              </w:tc>
              <w:tc>
                <w:tcPr>
                  <w:tcW w:w="1591"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rPr>
                    <w:t>本项目产生的各类危险废物分类存放，委托资质单位处置</w:t>
                  </w:r>
                </w:p>
              </w:tc>
              <w:tc>
                <w:tcPr>
                  <w:tcW w:w="588"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7"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lang w:val="en-US" w:eastAsia="zh-CN"/>
                    </w:rPr>
                    <w:t>2</w:t>
                  </w:r>
                </w:p>
              </w:tc>
              <w:tc>
                <w:tcPr>
                  <w:tcW w:w="2168" w:type="pct"/>
                  <w:noWrap w:val="0"/>
                  <w:vAlign w:val="center"/>
                </w:tcPr>
                <w:p>
                  <w:pPr>
                    <w:ind w:firstLine="420" w:firstLineChars="200"/>
                    <w:jc w:val="left"/>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bCs/>
                      <w:color w:val="auto"/>
                      <w:sz w:val="21"/>
                      <w:szCs w:val="21"/>
                    </w:rPr>
                    <w:t>对建设项目</w:t>
                  </w:r>
                  <w:r>
                    <w:rPr>
                      <w:rFonts w:hint="eastAsia" w:ascii="Times New Roman" w:hAnsi="Times New Roman" w:cs="Times New Roman"/>
                      <w:bCs/>
                      <w:color w:val="auto"/>
                      <w:sz w:val="21"/>
                      <w:szCs w:val="21"/>
                      <w:lang w:val="en-US" w:eastAsia="zh-CN"/>
                    </w:rPr>
                    <w:t>危险废物</w:t>
                  </w:r>
                  <w:r>
                    <w:rPr>
                      <w:rFonts w:hint="default" w:ascii="Times New Roman" w:hAnsi="Times New Roman" w:eastAsia="宋体" w:cs="Times New Roman"/>
                      <w:bCs/>
                      <w:color w:val="auto"/>
                      <w:sz w:val="21"/>
                      <w:szCs w:val="21"/>
                    </w:rPr>
                    <w:t>环境影响以及环境风险评价，并提出切实可行的污染防治对策措施</w:t>
                  </w:r>
                  <w:r>
                    <w:rPr>
                      <w:rFonts w:hint="eastAsia" w:cs="Times New Roman"/>
                      <w:bCs/>
                      <w:color w:val="auto"/>
                      <w:sz w:val="21"/>
                      <w:szCs w:val="21"/>
                      <w:lang w:eastAsia="zh-CN"/>
                    </w:rPr>
                    <w:t>。</w:t>
                  </w:r>
                </w:p>
              </w:tc>
              <w:tc>
                <w:tcPr>
                  <w:tcW w:w="1591" w:type="pct"/>
                  <w:noWrap w:val="0"/>
                  <w:vAlign w:val="center"/>
                </w:tcPr>
                <w:p>
                  <w:pPr>
                    <w:ind w:firstLine="420" w:firstLineChars="200"/>
                    <w:jc w:val="lef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本项目危废仓库为7个集装箱，地面已采取防渗措施，危废仓库通风设置良好，设置截流沟并配备事故池，可有效收集泄漏废液。</w:t>
                  </w:r>
                </w:p>
              </w:tc>
              <w:tc>
                <w:tcPr>
                  <w:tcW w:w="588" w:type="pct"/>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7"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lang w:val="en-US" w:eastAsia="zh-CN"/>
                    </w:rPr>
                    <w:t>3</w:t>
                  </w:r>
                </w:p>
              </w:tc>
              <w:tc>
                <w:tcPr>
                  <w:tcW w:w="2168"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rPr>
                    <w:t>企业应根据危险废物的种类和特性进行分区、分类贮存</w:t>
                  </w:r>
                </w:p>
              </w:tc>
              <w:tc>
                <w:tcPr>
                  <w:tcW w:w="1591" w:type="pct"/>
                  <w:noWrap w:val="0"/>
                  <w:vAlign w:val="center"/>
                </w:tcPr>
                <w:p>
                  <w:pPr>
                    <w:ind w:firstLine="420" w:firstLineChars="200"/>
                    <w:jc w:val="lef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电解废液、浓缩废液、离心分离和超滤废液</w:t>
                  </w:r>
                  <w:r>
                    <w:rPr>
                      <w:rFonts w:hint="eastAsia" w:ascii="Times New Roman" w:hAnsi="Times New Roman" w:eastAsia="宋体" w:cs="Times New Roman"/>
                      <w:color w:val="auto"/>
                      <w:szCs w:val="21"/>
                      <w:highlight w:val="none"/>
                      <w:lang w:val="en-US" w:eastAsia="zh-CN"/>
                    </w:rPr>
                    <w:t>等液体</w:t>
                  </w:r>
                  <w:r>
                    <w:rPr>
                      <w:rFonts w:hint="eastAsia" w:ascii="Times New Roman" w:hAnsi="Times New Roman" w:eastAsia="宋体" w:cs="Times New Roman"/>
                      <w:color w:val="auto"/>
                      <w:szCs w:val="21"/>
                      <w:highlight w:val="none"/>
                      <w:lang w:eastAsia="zh-CN"/>
                    </w:rPr>
                    <w:t>危废</w:t>
                  </w:r>
                  <w:r>
                    <w:rPr>
                      <w:rFonts w:hint="default" w:ascii="Times New Roman" w:hAnsi="Times New Roman" w:eastAsia="宋体" w:cs="Times New Roman"/>
                      <w:color w:val="auto"/>
                      <w:szCs w:val="21"/>
                      <w:highlight w:val="none"/>
                      <w:lang w:eastAsia="zh-CN"/>
                    </w:rPr>
                    <w:t>桶，</w:t>
                  </w:r>
                  <w:r>
                    <w:rPr>
                      <w:rFonts w:hint="eastAsia" w:cs="Times New Roman"/>
                      <w:color w:val="auto"/>
                      <w:szCs w:val="21"/>
                      <w:highlight w:val="none"/>
                      <w:lang w:val="en-US" w:eastAsia="zh-CN"/>
                    </w:rPr>
                    <w:t>废化学品容器、含油废抹布、污泥、废过滤材料</w:t>
                  </w:r>
                  <w:r>
                    <w:rPr>
                      <w:rFonts w:hint="eastAsia" w:ascii="Times New Roman" w:hAnsi="Times New Roman" w:cs="Times New Roman"/>
                      <w:color w:val="auto"/>
                      <w:szCs w:val="21"/>
                      <w:highlight w:val="none"/>
                      <w:lang w:val="en-US" w:eastAsia="zh-CN"/>
                    </w:rPr>
                    <w:t>打包扎紧、</w:t>
                  </w:r>
                  <w:r>
                    <w:rPr>
                      <w:rFonts w:hint="default" w:ascii="Times New Roman" w:hAnsi="Times New Roman" w:eastAsia="宋体" w:cs="Times New Roman"/>
                      <w:color w:val="auto"/>
                      <w:szCs w:val="21"/>
                      <w:highlight w:val="none"/>
                      <w:lang w:eastAsia="zh-CN"/>
                    </w:rPr>
                    <w:t>加盖堆放。危废仓库各类危废分区、分类贮存。</w:t>
                  </w:r>
                </w:p>
              </w:tc>
              <w:tc>
                <w:tcPr>
                  <w:tcW w:w="588" w:type="pct"/>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7"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lang w:val="en-US" w:eastAsia="zh-CN"/>
                    </w:rPr>
                    <w:t>4</w:t>
                  </w:r>
                </w:p>
              </w:tc>
              <w:tc>
                <w:tcPr>
                  <w:tcW w:w="2168"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rPr>
                    <w:t>危险废物贮存设置防雨、防火、防雷、防扬散、防渗漏装置及泄漏液体收集装置</w:t>
                  </w:r>
                </w:p>
              </w:tc>
              <w:tc>
                <w:tcPr>
                  <w:tcW w:w="1591"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w:t>
                  </w:r>
                  <w:r>
                    <w:rPr>
                      <w:rFonts w:hint="default" w:ascii="Times New Roman" w:hAnsi="Times New Roman" w:eastAsia="宋体" w:cs="Times New Roman"/>
                      <w:color w:val="auto"/>
                      <w:szCs w:val="21"/>
                      <w:highlight w:val="none"/>
                      <w:lang w:val="en-US" w:eastAsia="zh-CN"/>
                    </w:rPr>
                    <w:t>7个集装箱，每个占地面积18.3</w:t>
                  </w:r>
                  <w:r>
                    <w:rPr>
                      <w:rFonts w:hint="default" w:ascii="Times New Roman" w:hAnsi="Times New Roman" w:eastAsia="宋体" w:cs="Times New Roman"/>
                      <w:b w:val="0"/>
                      <w:bCs w:val="0"/>
                      <w:color w:val="auto"/>
                      <w:szCs w:val="21"/>
                      <w:highlight w:val="none"/>
                      <w:vertAlign w:val="baseline"/>
                    </w:rPr>
                    <w:t>m</w:t>
                  </w:r>
                  <w:r>
                    <w:rPr>
                      <w:rFonts w:hint="default" w:ascii="Times New Roman" w:hAnsi="Times New Roman" w:eastAsia="宋体" w:cs="Times New Roman"/>
                      <w:b w:val="0"/>
                      <w:bCs w:val="0"/>
                      <w:color w:val="auto"/>
                      <w:szCs w:val="21"/>
                      <w:highlight w:val="none"/>
                      <w:vertAlign w:val="superscript"/>
                    </w:rPr>
                    <w:t>2</w:t>
                  </w:r>
                  <w:r>
                    <w:rPr>
                      <w:rFonts w:hint="default" w:ascii="Times New Roman" w:hAnsi="Times New Roman" w:eastAsia="宋体" w:cs="Times New Roman"/>
                      <w:color w:val="auto"/>
                      <w:szCs w:val="21"/>
                      <w:highlight w:val="none"/>
                    </w:rPr>
                    <w:t>，地面铺设环氧树脂，</w:t>
                  </w:r>
                  <w:r>
                    <w:rPr>
                      <w:rFonts w:hint="default" w:ascii="Times New Roman" w:hAnsi="Times New Roman" w:eastAsia="宋体" w:cs="Times New Roman"/>
                      <w:color w:val="auto"/>
                      <w:sz w:val="22"/>
                      <w:highlight w:val="none"/>
                    </w:rPr>
                    <w:t>设置截流沟并配备事故池，可有效收集泄漏废液</w:t>
                  </w:r>
                  <w:r>
                    <w:rPr>
                      <w:rFonts w:hint="default" w:ascii="Times New Roman" w:hAnsi="Times New Roman" w:eastAsia="宋体" w:cs="Times New Roman"/>
                      <w:color w:val="auto"/>
                      <w:sz w:val="20"/>
                      <w:szCs w:val="21"/>
                      <w:highlight w:val="none"/>
                    </w:rPr>
                    <w:t>。</w:t>
                  </w:r>
                  <w:r>
                    <w:rPr>
                      <w:rFonts w:hint="default" w:ascii="Times New Roman" w:hAnsi="Times New Roman" w:eastAsia="宋体" w:cs="Times New Roman"/>
                      <w:color w:val="auto"/>
                      <w:szCs w:val="21"/>
                      <w:highlight w:val="none"/>
                    </w:rPr>
                    <w:t>危废仓库设置防雨、防火、防雷、防扬尘、防渗漏及泄漏液体收集装置。</w:t>
                  </w:r>
                </w:p>
              </w:tc>
              <w:tc>
                <w:tcPr>
                  <w:tcW w:w="588" w:type="pct"/>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7"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lang w:val="en-US" w:eastAsia="zh-CN"/>
                    </w:rPr>
                    <w:t>5</w:t>
                  </w:r>
                </w:p>
              </w:tc>
              <w:tc>
                <w:tcPr>
                  <w:tcW w:w="2168"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rPr>
                    <w:t>对易爆、易燃及排出有毒气体的危险废物进行预处理，稳定后贮存</w:t>
                  </w:r>
                </w:p>
              </w:tc>
              <w:tc>
                <w:tcPr>
                  <w:tcW w:w="1591"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本项目各类危废分类分区存放，存储设施按照应急管理、消防、规划建设等相关职能部门的要求办理相关手续</w:t>
                  </w:r>
                </w:p>
              </w:tc>
              <w:tc>
                <w:tcPr>
                  <w:tcW w:w="588" w:type="pct"/>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7"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lang w:val="en-US" w:eastAsia="zh-CN"/>
                    </w:rPr>
                    <w:t>6</w:t>
                  </w:r>
                </w:p>
              </w:tc>
              <w:tc>
                <w:tcPr>
                  <w:tcW w:w="2168"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rPr>
                    <w:t>贮存废弃剧毒化学品的，应按照公安机关要求落实治安防范措施</w:t>
                  </w:r>
                </w:p>
              </w:tc>
              <w:tc>
                <w:tcPr>
                  <w:tcW w:w="1591"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本项目不涉及废弃剧毒化学品</w:t>
                  </w:r>
                </w:p>
              </w:tc>
              <w:tc>
                <w:tcPr>
                  <w:tcW w:w="588" w:type="pct"/>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7"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lang w:val="en-US" w:eastAsia="zh-CN"/>
                    </w:rPr>
                    <w:t>7</w:t>
                  </w:r>
                </w:p>
              </w:tc>
              <w:tc>
                <w:tcPr>
                  <w:tcW w:w="2168"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rPr>
                    <w:t>企业严格执行《省生态环境厅关于印发 江苏省危险废物贮存规范化管理专项整 治行动方案的通知》（苏环办〔2019〕149 号）要求，按照《环境保护图形标志 固体废物贮存（处置）场》（GB15562.2- 1995）和危险废物识别标识设置规范设置标志（具体要求必须符合苏环办 [2019]327 号附件 1“危险废物识别标识规 范化设置要求”的规定）</w:t>
                  </w:r>
                </w:p>
              </w:tc>
              <w:tc>
                <w:tcPr>
                  <w:tcW w:w="1591"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项目建成后，公司将</w:t>
                  </w:r>
                  <w:r>
                    <w:rPr>
                      <w:rFonts w:hint="eastAsia" w:cs="Times New Roman"/>
                      <w:color w:val="auto"/>
                      <w:szCs w:val="21"/>
                      <w:highlight w:val="none"/>
                      <w:lang w:val="en-US" w:eastAsia="zh-CN"/>
                    </w:rPr>
                    <w:t>更新</w:t>
                  </w:r>
                  <w:r>
                    <w:rPr>
                      <w:rFonts w:hint="default" w:ascii="Times New Roman" w:hAnsi="Times New Roman" w:eastAsia="宋体" w:cs="Times New Roman"/>
                      <w:color w:val="auto"/>
                      <w:szCs w:val="21"/>
                      <w:highlight w:val="none"/>
                    </w:rPr>
                    <w:t>厂区门口的危废信息公开栏，危废仓库外墙及危废贮存处墙面设置贮存设施的警示标志牌等信息</w:t>
                  </w:r>
                </w:p>
              </w:tc>
              <w:tc>
                <w:tcPr>
                  <w:tcW w:w="588" w:type="pct"/>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7"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lang w:val="en-US" w:eastAsia="zh-CN"/>
                    </w:rPr>
                    <w:t>8</w:t>
                  </w:r>
                </w:p>
              </w:tc>
              <w:tc>
                <w:tcPr>
                  <w:tcW w:w="2168"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rPr>
                    <w:t>设置警示标志，配备通讯设备、照明设施和消防设施。</w:t>
                  </w:r>
                </w:p>
              </w:tc>
              <w:tc>
                <w:tcPr>
                  <w:tcW w:w="1591"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企业通讯设备、照明设施和消防设施齐全</w:t>
                  </w:r>
                </w:p>
              </w:tc>
              <w:tc>
                <w:tcPr>
                  <w:tcW w:w="588" w:type="pct"/>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7"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lang w:val="en-US" w:eastAsia="zh-CN"/>
                    </w:rPr>
                    <w:t>9</w:t>
                  </w:r>
                </w:p>
              </w:tc>
              <w:tc>
                <w:tcPr>
                  <w:tcW w:w="2168"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rPr>
                    <w:t>危险废物仓库须设置气体导出口及气体净化装置，确保废气达标排放</w:t>
                  </w:r>
                </w:p>
              </w:tc>
              <w:tc>
                <w:tcPr>
                  <w:tcW w:w="1591"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本项目产生的危险废物均在厂区的货架内分类、分区储存。结合货架结构特点，新增废气治理设施有较大安全隐患，为减少废气产生，液态危险废物及固态危险废采用桶装、加盖、包装再缠绕塑料膜等方式，规范化收集、贮存后，危废仓库基本无废气产生，对周围影响忽略不计。</w:t>
                  </w:r>
                </w:p>
              </w:tc>
              <w:tc>
                <w:tcPr>
                  <w:tcW w:w="588" w:type="pct"/>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7"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lang w:val="en-US" w:eastAsia="zh-CN"/>
                    </w:rPr>
                    <w:t>10</w:t>
                  </w:r>
                </w:p>
              </w:tc>
              <w:tc>
                <w:tcPr>
                  <w:tcW w:w="2168"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rPr>
                    <w:t>在危险废物仓库出入口、设施内部、危险废物运输车辆通道等关键位置按照危险废物贮存设施视频监控布设要求设置视频监控，并与中控室联网(具体要求必须符合苏环办2019]327号附件2“危险废物贮存设施视频监控布设要求”的规定)</w:t>
                  </w:r>
                </w:p>
              </w:tc>
              <w:tc>
                <w:tcPr>
                  <w:tcW w:w="1591"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公司危废仓库区域已设置监控系统，主要在仓库出入口、仓库内、厂门口等关键位置安装视频监控设施，进行实时监控，并与中控室联网</w:t>
                  </w:r>
                </w:p>
              </w:tc>
              <w:tc>
                <w:tcPr>
                  <w:tcW w:w="588" w:type="pct"/>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7"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lang w:val="en-US" w:eastAsia="zh-CN"/>
                    </w:rPr>
                    <w:t>11</w:t>
                  </w:r>
                </w:p>
              </w:tc>
              <w:tc>
                <w:tcPr>
                  <w:tcW w:w="2168"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rPr>
                    <w:t>环评文件中涉及有副产品内容的，应严格对照《固体废物鉴别标准通则》 （GB34330-2017），依据其产生来源、利 用和处置过程等进行鉴别，禁止以副产品的名义逃避监管。</w:t>
                  </w:r>
                </w:p>
              </w:tc>
              <w:tc>
                <w:tcPr>
                  <w:tcW w:w="1591"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本项目产生的固体废物均已对照《固体废物 鉴别标准通则》（GB34330-2017）进行分析，均为固体废物，详见工程分析章节</w:t>
                  </w:r>
                </w:p>
              </w:tc>
              <w:tc>
                <w:tcPr>
                  <w:tcW w:w="588" w:type="pct"/>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7"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lang w:val="en-US" w:eastAsia="zh-CN"/>
                    </w:rPr>
                    <w:t>12</w:t>
                  </w:r>
                </w:p>
              </w:tc>
              <w:tc>
                <w:tcPr>
                  <w:tcW w:w="2168"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rPr>
                    <w:t>贮存易爆、易燃及排出有毒气体的危险 废物贮存设施应按照应急管理、消防、 规划建设等相关职能部门的要求办理相 关手续</w:t>
                  </w:r>
                </w:p>
              </w:tc>
              <w:tc>
                <w:tcPr>
                  <w:tcW w:w="1591" w:type="pct"/>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企业不涉及易燃、易爆以及排出有毒气体的危险废物</w:t>
                  </w:r>
                </w:p>
              </w:tc>
              <w:tc>
                <w:tcPr>
                  <w:tcW w:w="588" w:type="pct"/>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相符</w:t>
                  </w:r>
                </w:p>
              </w:tc>
            </w:tr>
          </w:tbl>
          <w:p>
            <w:pPr>
              <w:widowControl/>
              <w:adjustRightInd w:val="0"/>
              <w:snapToGrid w:val="0"/>
              <w:spacing w:line="500" w:lineRule="exact"/>
              <w:ind w:firstLine="600" w:firstLineChars="25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以上标志需设置在醒目处，标志牌应保持清晰、完整，当发现形象损坏，颜色污染或有变化、褪色等不符合要求的情况，应及时维修或者更换。有多种危险废物的单位应根据情况设置分区提示标志，标明危险废物特征和贮存量。</w:t>
            </w:r>
          </w:p>
          <w:p>
            <w:pPr>
              <w:widowControl/>
              <w:adjustRightInd w:val="0"/>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综上所述，本项目新增</w:t>
            </w:r>
            <w:r>
              <w:rPr>
                <w:rFonts w:hint="eastAsia" w:cs="Times New Roman"/>
                <w:color w:val="auto"/>
                <w:sz w:val="24"/>
                <w:highlight w:val="none"/>
                <w:lang w:val="en-US" w:eastAsia="zh-CN"/>
              </w:rPr>
              <w:t>电解废液、化学品容器、浓缩废液、离心分离和超滤废液、污泥、废过滤材料、含油废抹布</w:t>
            </w:r>
            <w:r>
              <w:rPr>
                <w:rFonts w:hint="default" w:ascii="Times New Roman" w:hAnsi="Times New Roman" w:eastAsia="宋体" w:cs="Times New Roman"/>
                <w:color w:val="auto"/>
                <w:sz w:val="24"/>
                <w:highlight w:val="none"/>
              </w:rPr>
              <w:t>等危险废物委托有资质单位处理处置、新增生活垃圾由环卫部门统一清运、新增食堂泔脚废油脂由资质单位回收，新增一般固废</w:t>
            </w:r>
            <w:r>
              <w:rPr>
                <w:rFonts w:hint="eastAsia" w:cs="Times New Roman"/>
                <w:color w:val="auto"/>
                <w:sz w:val="24"/>
                <w:highlight w:val="none"/>
                <w:lang w:val="en-US" w:eastAsia="zh-CN"/>
              </w:rPr>
              <w:t>废膜组件</w:t>
            </w:r>
            <w:r>
              <w:rPr>
                <w:rFonts w:hint="default" w:ascii="Times New Roman" w:hAnsi="Times New Roman" w:eastAsia="宋体" w:cs="Times New Roman"/>
                <w:color w:val="auto"/>
                <w:sz w:val="24"/>
                <w:highlight w:val="none"/>
              </w:rPr>
              <w:t>由废品回收商回收，固体废物可实现零排放。全厂现有一般固废单独分类收集和存放；本项目危废仓库设置了截流沟并联通事故池，可有效收集泄漏废液。危险废物收集、暂存、转移全过程严格按照规范管理，并落实台账记录、申报转移。</w:t>
            </w:r>
          </w:p>
          <w:p>
            <w:pPr>
              <w:pStyle w:val="3"/>
              <w:numPr>
                <w:ilvl w:val="0"/>
                <w:numId w:val="0"/>
              </w:numPr>
              <w:spacing w:line="500" w:lineRule="exact"/>
              <w:ind w:firstLine="480" w:firstLineChars="200"/>
              <w:jc w:val="left"/>
              <w:rPr>
                <w:rFonts w:hint="default"/>
                <w:b/>
                <w:bCs/>
                <w:lang w:val="en-US" w:eastAsia="zh-CN"/>
              </w:rPr>
            </w:pPr>
            <w:r>
              <w:rPr>
                <w:rFonts w:hint="default" w:ascii="Times New Roman" w:hAnsi="Times New Roman" w:eastAsia="宋体" w:cs="Times New Roman"/>
                <w:color w:val="auto"/>
                <w:sz w:val="24"/>
                <w:highlight w:val="none"/>
              </w:rPr>
              <w:t>全厂固体废物采取相应的处置措施，且该措施均切实有效，固体废物能做到不外排。</w:t>
            </w:r>
          </w:p>
          <w:p>
            <w:pPr>
              <w:adjustRightInd w:val="0"/>
              <w:snapToGrid w:val="0"/>
              <w:spacing w:line="500" w:lineRule="exact"/>
              <w:jc w:val="both"/>
              <w:rPr>
                <w:rFonts w:hint="default" w:ascii="Times New Roman" w:hAnsi="Times New Roman" w:eastAsia="宋体" w:cs="Times New Roman"/>
                <w:b/>
                <w:bCs/>
                <w:color w:val="auto"/>
                <w:spacing w:val="-10"/>
                <w:szCs w:val="21"/>
                <w:highlight w:val="none"/>
              </w:rPr>
            </w:pPr>
            <w:r>
              <w:rPr>
                <w:rFonts w:hint="default" w:ascii="Times New Roman" w:hAnsi="Times New Roman" w:eastAsia="宋体" w:cs="Times New Roman"/>
                <w:b/>
                <w:bCs/>
                <w:color w:val="auto"/>
                <w:spacing w:val="-10"/>
                <w:sz w:val="24"/>
                <w:szCs w:val="21"/>
                <w:highlight w:val="none"/>
              </w:rPr>
              <w:t>5、地下水、土壤</w:t>
            </w:r>
          </w:p>
          <w:p>
            <w:pPr>
              <w:adjustRightInd w:val="0"/>
              <w:snapToGrid w:val="0"/>
              <w:spacing w:line="500" w:lineRule="exact"/>
              <w:ind w:firstLine="390"/>
              <w:jc w:val="both"/>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（1）本项目地下水、土壤污染防治措施</w:t>
            </w:r>
          </w:p>
          <w:p>
            <w:pPr>
              <w:numPr>
                <w:ilvl w:val="0"/>
                <w:numId w:val="0"/>
              </w:numPr>
              <w:adjustRightInd w:val="0"/>
              <w:snapToGrid w:val="0"/>
              <w:spacing w:line="500" w:lineRule="exact"/>
              <w:ind w:left="0" w:leftChars="0" w:firstLine="44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10"/>
                <w:sz w:val="24"/>
                <w:szCs w:val="21"/>
                <w:highlight w:val="none"/>
              </w:rPr>
              <w:t>本项目地下水和土壤污染主要来源于化学原料的泄漏，建设单位化学物料库存量小，少量的有机物料存储在防爆柜内，防爆柜布置在生产车间，车间所有区域均在水泥硬化地面的基础上铺设环氧树脂涂层。根据本项目平面布局特点应如下防渗措施：</w:t>
            </w:r>
          </w:p>
          <w:p>
            <w:pPr>
              <w:adjustRightInd w:val="0"/>
              <w:snapToGrid w:val="0"/>
              <w:spacing w:line="500" w:lineRule="exact"/>
              <w:jc w:val="center"/>
              <w:rPr>
                <w:rFonts w:hint="default" w:ascii="Times New Roman" w:hAnsi="Times New Roman" w:eastAsia="宋体" w:cs="Times New Roman"/>
                <w:b/>
                <w:bCs/>
                <w:color w:val="auto"/>
                <w:spacing w:val="-10"/>
                <w:sz w:val="24"/>
                <w:szCs w:val="21"/>
                <w:highlight w:val="none"/>
              </w:rPr>
            </w:pPr>
            <w:r>
              <w:rPr>
                <w:rFonts w:hint="default" w:ascii="Times New Roman" w:hAnsi="Times New Roman" w:eastAsia="宋体" w:cs="Times New Roman"/>
                <w:b/>
                <w:bCs/>
                <w:color w:val="auto"/>
                <w:spacing w:val="-10"/>
                <w:sz w:val="24"/>
                <w:szCs w:val="21"/>
                <w:highlight w:val="none"/>
              </w:rPr>
              <w:t>表4-</w:t>
            </w:r>
            <w:r>
              <w:rPr>
                <w:rFonts w:hint="default" w:ascii="Times New Roman" w:hAnsi="Times New Roman" w:eastAsia="宋体" w:cs="Times New Roman"/>
                <w:b/>
                <w:bCs/>
                <w:color w:val="auto"/>
                <w:spacing w:val="-10"/>
                <w:sz w:val="24"/>
                <w:szCs w:val="21"/>
                <w:highlight w:val="none"/>
                <w:lang w:val="en-US" w:eastAsia="zh-CN"/>
              </w:rPr>
              <w:t>1</w:t>
            </w:r>
            <w:r>
              <w:rPr>
                <w:rFonts w:hint="eastAsia" w:cs="Times New Roman"/>
                <w:b/>
                <w:bCs/>
                <w:color w:val="auto"/>
                <w:spacing w:val="-10"/>
                <w:sz w:val="24"/>
                <w:szCs w:val="21"/>
                <w:highlight w:val="none"/>
                <w:lang w:val="en-US" w:eastAsia="zh-CN"/>
              </w:rPr>
              <w:t xml:space="preserve">4 </w:t>
            </w:r>
            <w:r>
              <w:rPr>
                <w:rFonts w:hint="default" w:ascii="Times New Roman" w:hAnsi="Times New Roman" w:eastAsia="宋体" w:cs="Times New Roman"/>
                <w:b/>
                <w:bCs/>
                <w:color w:val="auto"/>
                <w:spacing w:val="-10"/>
                <w:sz w:val="24"/>
                <w:szCs w:val="21"/>
                <w:highlight w:val="none"/>
              </w:rPr>
              <w:t xml:space="preserve">  本项目分区防渗要求</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29"/>
              <w:gridCol w:w="2524"/>
              <w:gridCol w:w="555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414" w:type="pct"/>
                  <w:noWrap w:val="0"/>
                  <w:vAlign w:val="center"/>
                </w:tcPr>
                <w:p>
                  <w:pPr>
                    <w:adjustRightInd w:val="0"/>
                    <w:snapToGrid w:val="0"/>
                    <w:jc w:val="center"/>
                    <w:rPr>
                      <w:rFonts w:hint="default" w:ascii="Times New Roman" w:hAnsi="Times New Roman" w:eastAsia="宋体" w:cs="Times New Roman"/>
                      <w:b/>
                      <w:bCs/>
                      <w:color w:val="auto"/>
                      <w:spacing w:val="-10"/>
                      <w:szCs w:val="21"/>
                      <w:highlight w:val="none"/>
                    </w:rPr>
                  </w:pPr>
                  <w:r>
                    <w:rPr>
                      <w:rFonts w:hint="default" w:ascii="Times New Roman" w:hAnsi="Times New Roman" w:eastAsia="宋体" w:cs="Times New Roman"/>
                      <w:b/>
                      <w:bCs/>
                      <w:color w:val="auto"/>
                      <w:spacing w:val="-10"/>
                      <w:szCs w:val="21"/>
                      <w:highlight w:val="none"/>
                    </w:rPr>
                    <w:t>序号</w:t>
                  </w:r>
                </w:p>
              </w:tc>
              <w:tc>
                <w:tcPr>
                  <w:tcW w:w="1433" w:type="pct"/>
                  <w:noWrap w:val="0"/>
                  <w:vAlign w:val="center"/>
                </w:tcPr>
                <w:p>
                  <w:pPr>
                    <w:adjustRightInd w:val="0"/>
                    <w:snapToGrid w:val="0"/>
                    <w:jc w:val="center"/>
                    <w:rPr>
                      <w:rFonts w:hint="default" w:ascii="Times New Roman" w:hAnsi="Times New Roman" w:eastAsia="宋体" w:cs="Times New Roman"/>
                      <w:b/>
                      <w:bCs/>
                      <w:color w:val="auto"/>
                      <w:spacing w:val="-10"/>
                      <w:szCs w:val="21"/>
                      <w:highlight w:val="none"/>
                    </w:rPr>
                  </w:pPr>
                  <w:r>
                    <w:rPr>
                      <w:rFonts w:hint="default" w:ascii="Times New Roman" w:hAnsi="Times New Roman" w:eastAsia="宋体" w:cs="Times New Roman"/>
                      <w:b/>
                      <w:bCs/>
                      <w:color w:val="auto"/>
                      <w:spacing w:val="-10"/>
                      <w:szCs w:val="21"/>
                      <w:highlight w:val="none"/>
                    </w:rPr>
                    <w:t>防渗分区</w:t>
                  </w:r>
                </w:p>
              </w:tc>
              <w:tc>
                <w:tcPr>
                  <w:tcW w:w="3153" w:type="pct"/>
                  <w:noWrap w:val="0"/>
                  <w:vAlign w:val="center"/>
                </w:tcPr>
                <w:p>
                  <w:pPr>
                    <w:adjustRightInd w:val="0"/>
                    <w:snapToGrid w:val="0"/>
                    <w:jc w:val="center"/>
                    <w:rPr>
                      <w:rFonts w:hint="default" w:ascii="Times New Roman" w:hAnsi="Times New Roman" w:eastAsia="宋体" w:cs="Times New Roman"/>
                      <w:b/>
                      <w:bCs/>
                      <w:color w:val="auto"/>
                      <w:spacing w:val="-10"/>
                      <w:szCs w:val="21"/>
                      <w:highlight w:val="none"/>
                    </w:rPr>
                  </w:pPr>
                  <w:r>
                    <w:rPr>
                      <w:rFonts w:hint="default" w:ascii="Times New Roman" w:hAnsi="Times New Roman" w:eastAsia="宋体" w:cs="Times New Roman"/>
                      <w:b/>
                      <w:bCs/>
                      <w:color w:val="auto"/>
                      <w:spacing w:val="-10"/>
                      <w:szCs w:val="21"/>
                      <w:highlight w:val="none"/>
                    </w:rPr>
                    <w:t>防渗要求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14" w:type="pct"/>
                  <w:noWrap w:val="0"/>
                  <w:vAlign w:val="center"/>
                </w:tcPr>
                <w:p>
                  <w:pPr>
                    <w:adjustRightInd w:val="0"/>
                    <w:snapToGrid w:val="0"/>
                    <w:jc w:val="center"/>
                    <w:rPr>
                      <w:rFonts w:hint="default" w:ascii="Times New Roman" w:hAnsi="Times New Roman" w:eastAsia="宋体" w:cs="Times New Roman"/>
                      <w:color w:val="auto"/>
                      <w:spacing w:val="-10"/>
                      <w:szCs w:val="21"/>
                      <w:highlight w:val="none"/>
                    </w:rPr>
                  </w:pPr>
                  <w:r>
                    <w:rPr>
                      <w:rFonts w:hint="default" w:ascii="Times New Roman" w:hAnsi="Times New Roman" w:eastAsia="宋体" w:cs="Times New Roman"/>
                      <w:color w:val="auto"/>
                      <w:spacing w:val="-10"/>
                      <w:szCs w:val="21"/>
                      <w:highlight w:val="none"/>
                    </w:rPr>
                    <w:t>1</w:t>
                  </w:r>
                </w:p>
              </w:tc>
              <w:tc>
                <w:tcPr>
                  <w:tcW w:w="1433" w:type="pct"/>
                  <w:noWrap w:val="0"/>
                  <w:vAlign w:val="center"/>
                </w:tcPr>
                <w:p>
                  <w:pPr>
                    <w:adjustRightInd w:val="0"/>
                    <w:snapToGrid w:val="0"/>
                    <w:jc w:val="center"/>
                    <w:rPr>
                      <w:rFonts w:hint="default" w:ascii="Times New Roman" w:hAnsi="Times New Roman" w:eastAsia="宋体" w:cs="Times New Roman"/>
                      <w:color w:val="auto"/>
                      <w:spacing w:val="-10"/>
                      <w:szCs w:val="21"/>
                      <w:highlight w:val="none"/>
                    </w:rPr>
                  </w:pPr>
                  <w:r>
                    <w:rPr>
                      <w:rFonts w:hint="default" w:ascii="Times New Roman" w:hAnsi="Times New Roman" w:eastAsia="宋体" w:cs="Times New Roman"/>
                      <w:color w:val="auto"/>
                      <w:spacing w:val="-10"/>
                      <w:szCs w:val="21"/>
                      <w:highlight w:val="none"/>
                    </w:rPr>
                    <w:t>化学物料暂存仓库、危废仓库、车间内涉及液态物料使用的区域、污水处理站</w:t>
                  </w:r>
                </w:p>
              </w:tc>
              <w:tc>
                <w:tcPr>
                  <w:tcW w:w="3153" w:type="pct"/>
                  <w:noWrap w:val="0"/>
                  <w:vAlign w:val="center"/>
                </w:tcPr>
                <w:p>
                  <w:pPr>
                    <w:adjustRightInd w:val="0"/>
                    <w:snapToGrid w:val="0"/>
                    <w:jc w:val="center"/>
                    <w:rPr>
                      <w:rFonts w:hint="default" w:ascii="Times New Roman" w:hAnsi="Times New Roman" w:eastAsia="宋体" w:cs="Times New Roman"/>
                      <w:color w:val="auto"/>
                      <w:spacing w:val="-10"/>
                      <w:szCs w:val="21"/>
                      <w:highlight w:val="none"/>
                    </w:rPr>
                  </w:pPr>
                  <w:r>
                    <w:rPr>
                      <w:rFonts w:hint="default" w:ascii="Times New Roman" w:hAnsi="Times New Roman" w:eastAsia="宋体" w:cs="Times New Roman"/>
                      <w:color w:val="auto"/>
                      <w:spacing w:val="-10"/>
                      <w:szCs w:val="21"/>
                      <w:highlight w:val="none"/>
                    </w:rPr>
                    <w:t>重要防渗区域：水泥硬化基础（厂房现有结构）+环氧树脂涂层地面；物料仓库设置截流沟。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29" w:hRule="atLeast"/>
              </w:trPr>
              <w:tc>
                <w:tcPr>
                  <w:tcW w:w="414" w:type="pct"/>
                  <w:noWrap w:val="0"/>
                  <w:vAlign w:val="center"/>
                </w:tcPr>
                <w:p>
                  <w:pPr>
                    <w:adjustRightInd w:val="0"/>
                    <w:snapToGrid w:val="0"/>
                    <w:jc w:val="center"/>
                    <w:rPr>
                      <w:rFonts w:hint="default" w:ascii="Times New Roman" w:hAnsi="Times New Roman" w:eastAsia="宋体" w:cs="Times New Roman"/>
                      <w:color w:val="auto"/>
                      <w:spacing w:val="-10"/>
                      <w:szCs w:val="21"/>
                      <w:highlight w:val="none"/>
                    </w:rPr>
                  </w:pPr>
                  <w:r>
                    <w:rPr>
                      <w:rFonts w:hint="default" w:ascii="Times New Roman" w:hAnsi="Times New Roman" w:eastAsia="宋体" w:cs="Times New Roman"/>
                      <w:color w:val="auto"/>
                      <w:spacing w:val="-10"/>
                      <w:szCs w:val="21"/>
                      <w:highlight w:val="none"/>
                    </w:rPr>
                    <w:t>2</w:t>
                  </w:r>
                </w:p>
              </w:tc>
              <w:tc>
                <w:tcPr>
                  <w:tcW w:w="1433" w:type="pct"/>
                  <w:noWrap w:val="0"/>
                  <w:vAlign w:val="center"/>
                </w:tcPr>
                <w:p>
                  <w:pPr>
                    <w:adjustRightInd w:val="0"/>
                    <w:snapToGrid w:val="0"/>
                    <w:jc w:val="center"/>
                    <w:rPr>
                      <w:rFonts w:hint="default" w:ascii="Times New Roman" w:hAnsi="Times New Roman" w:eastAsia="宋体" w:cs="Times New Roman"/>
                      <w:color w:val="auto"/>
                      <w:spacing w:val="-10"/>
                      <w:szCs w:val="21"/>
                      <w:highlight w:val="none"/>
                    </w:rPr>
                  </w:pPr>
                  <w:r>
                    <w:rPr>
                      <w:rFonts w:hint="default" w:ascii="Times New Roman" w:hAnsi="Times New Roman" w:eastAsia="宋体" w:cs="Times New Roman"/>
                      <w:color w:val="auto"/>
                      <w:spacing w:val="-10"/>
                      <w:szCs w:val="21"/>
                      <w:highlight w:val="none"/>
                    </w:rPr>
                    <w:t>车间内其他区域</w:t>
                  </w:r>
                </w:p>
              </w:tc>
              <w:tc>
                <w:tcPr>
                  <w:tcW w:w="3153" w:type="pct"/>
                  <w:noWrap w:val="0"/>
                  <w:vAlign w:val="center"/>
                </w:tcPr>
                <w:p>
                  <w:pPr>
                    <w:adjustRightInd w:val="0"/>
                    <w:snapToGrid w:val="0"/>
                    <w:jc w:val="center"/>
                    <w:rPr>
                      <w:rFonts w:hint="default" w:ascii="Times New Roman" w:hAnsi="Times New Roman" w:eastAsia="宋体" w:cs="Times New Roman"/>
                      <w:color w:val="auto"/>
                      <w:spacing w:val="-10"/>
                      <w:szCs w:val="21"/>
                      <w:highlight w:val="none"/>
                    </w:rPr>
                  </w:pPr>
                  <w:r>
                    <w:rPr>
                      <w:rFonts w:hint="default" w:ascii="Times New Roman" w:hAnsi="Times New Roman" w:eastAsia="宋体" w:cs="Times New Roman"/>
                      <w:color w:val="auto"/>
                      <w:spacing w:val="-10"/>
                      <w:szCs w:val="21"/>
                      <w:highlight w:val="none"/>
                    </w:rPr>
                    <w:t>一般防渗：水泥硬化基础（厂房现有结构）+环氧树脂涂层地面。</w:t>
                  </w:r>
                </w:p>
              </w:tc>
            </w:tr>
          </w:tbl>
          <w:p>
            <w:pPr>
              <w:adjustRightInd w:val="0"/>
              <w:snapToGrid w:val="0"/>
              <w:spacing w:line="500" w:lineRule="exact"/>
              <w:ind w:firstLine="442" w:firstLineChars="200"/>
              <w:jc w:val="both"/>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（2）本项目地下水、土壤跟踪监测计划</w:t>
            </w:r>
          </w:p>
          <w:p>
            <w:pPr>
              <w:adjustRightInd w:val="0"/>
              <w:snapToGrid w:val="0"/>
              <w:spacing w:line="500" w:lineRule="exact"/>
              <w:ind w:left="94" w:firstLine="424" w:firstLineChars="193"/>
              <w:jc w:val="both"/>
              <w:rPr>
                <w:rFonts w:hint="default" w:ascii="Times New Roman" w:hAnsi="Times New Roman" w:eastAsia="宋体" w:cs="Times New Roman"/>
                <w:color w:val="auto"/>
                <w:spacing w:val="-10"/>
                <w:sz w:val="24"/>
                <w:szCs w:val="21"/>
                <w:highlight w:val="none"/>
              </w:rPr>
            </w:pPr>
            <w:r>
              <w:rPr>
                <w:rFonts w:hint="default" w:ascii="Times New Roman" w:hAnsi="Times New Roman" w:eastAsia="宋体" w:cs="Times New Roman"/>
                <w:color w:val="auto"/>
                <w:spacing w:val="-10"/>
                <w:sz w:val="24"/>
                <w:szCs w:val="21"/>
                <w:highlight w:val="none"/>
              </w:rPr>
              <w:t>本项目地下水和土壤污染的可能性和程度均较小，正常情况可不开展地下水和土壤跟踪监测，当发生液态物料、危险废液等物质泄漏事故且泄漏液可能进入到外环境时，在泄漏物质流经的区域附近开展地下水和土壤的监测，检查泄漏事故污染影响情况。</w:t>
            </w:r>
          </w:p>
          <w:p>
            <w:pPr>
              <w:adjustRightInd w:val="0"/>
              <w:snapToGrid w:val="0"/>
              <w:spacing w:line="500" w:lineRule="exact"/>
              <w:jc w:val="both"/>
              <w:rPr>
                <w:rFonts w:hint="default" w:ascii="Times New Roman" w:hAnsi="Times New Roman" w:eastAsia="宋体" w:cs="Times New Roman"/>
                <w:b/>
                <w:bCs/>
                <w:color w:val="auto"/>
                <w:spacing w:val="-10"/>
                <w:szCs w:val="21"/>
                <w:highlight w:val="none"/>
              </w:rPr>
            </w:pPr>
            <w:r>
              <w:rPr>
                <w:rFonts w:hint="default" w:ascii="Times New Roman" w:hAnsi="Times New Roman" w:eastAsia="宋体" w:cs="Times New Roman"/>
                <w:b/>
                <w:bCs/>
                <w:color w:val="auto"/>
                <w:spacing w:val="-10"/>
                <w:sz w:val="24"/>
                <w:szCs w:val="21"/>
                <w:highlight w:val="none"/>
              </w:rPr>
              <w:t>6、生态</w:t>
            </w:r>
          </w:p>
          <w:p>
            <w:pPr>
              <w:adjustRightInd w:val="0"/>
              <w:snapToGrid w:val="0"/>
              <w:spacing w:line="500" w:lineRule="exact"/>
              <w:ind w:firstLine="440" w:firstLineChars="200"/>
              <w:jc w:val="both"/>
              <w:rPr>
                <w:rFonts w:hint="default" w:ascii="Times New Roman" w:hAnsi="Times New Roman" w:eastAsia="宋体" w:cs="Times New Roman"/>
                <w:color w:val="auto"/>
                <w:spacing w:val="-10"/>
                <w:sz w:val="24"/>
                <w:highlight w:val="none"/>
              </w:rPr>
            </w:pPr>
            <w:r>
              <w:rPr>
                <w:rFonts w:hint="default" w:ascii="Times New Roman" w:hAnsi="Times New Roman" w:eastAsia="宋体" w:cs="Times New Roman"/>
                <w:color w:val="auto"/>
                <w:spacing w:val="-10"/>
                <w:sz w:val="24"/>
                <w:highlight w:val="none"/>
              </w:rPr>
              <w:t>本项目不涉及。</w:t>
            </w:r>
          </w:p>
          <w:p>
            <w:pPr>
              <w:adjustRightInd w:val="0"/>
              <w:snapToGrid w:val="0"/>
              <w:spacing w:line="500" w:lineRule="exact"/>
              <w:jc w:val="both"/>
              <w:rPr>
                <w:rFonts w:hint="default" w:ascii="Times New Roman" w:hAnsi="Times New Roman" w:eastAsia="宋体" w:cs="Times New Roman"/>
                <w:b/>
                <w:bCs/>
                <w:color w:val="auto"/>
                <w:spacing w:val="-10"/>
                <w:szCs w:val="21"/>
                <w:highlight w:val="none"/>
              </w:rPr>
            </w:pPr>
            <w:r>
              <w:rPr>
                <w:rFonts w:hint="default" w:ascii="Times New Roman" w:hAnsi="Times New Roman" w:eastAsia="宋体" w:cs="Times New Roman"/>
                <w:b/>
                <w:bCs/>
                <w:color w:val="auto"/>
                <w:spacing w:val="-10"/>
                <w:sz w:val="24"/>
                <w:szCs w:val="21"/>
                <w:highlight w:val="none"/>
              </w:rPr>
              <w:t>7、环境风险</w:t>
            </w:r>
          </w:p>
          <w:p>
            <w:pPr>
              <w:adjustRightInd w:val="0"/>
              <w:snapToGrid w:val="0"/>
              <w:spacing w:line="500" w:lineRule="exact"/>
              <w:ind w:firstLine="442" w:firstLineChars="200"/>
              <w:jc w:val="both"/>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7.1物质危险性识别</w:t>
            </w:r>
          </w:p>
          <w:p>
            <w:pPr>
              <w:adjustRightInd w:val="0"/>
              <w:snapToGrid w:val="0"/>
              <w:spacing w:line="500" w:lineRule="exact"/>
              <w:ind w:firstLine="480" w:firstLineChars="200"/>
              <w:jc w:val="both"/>
              <w:rPr>
                <w:rFonts w:hint="default" w:ascii="Times New Roman" w:hAnsi="Times New Roman" w:eastAsia="宋体" w:cs="Times New Roman"/>
                <w:color w:val="auto"/>
                <w:spacing w:val="-10"/>
                <w:sz w:val="24"/>
                <w:highlight w:val="none"/>
              </w:rPr>
            </w:pPr>
            <w:r>
              <w:rPr>
                <w:rFonts w:hint="default" w:ascii="Times New Roman" w:hAnsi="Times New Roman" w:eastAsia="宋体" w:cs="Times New Roman"/>
                <w:color w:val="auto"/>
                <w:sz w:val="24"/>
                <w:highlight w:val="none"/>
              </w:rPr>
              <w:t>本项目生产加工过程使用的化学品</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对照国家安全监管总局公告2015年第5号《危险化学品名录（2015版）》，涉及的危险化学品</w:t>
            </w:r>
            <w:r>
              <w:rPr>
                <w:rFonts w:hint="eastAsia" w:cs="Times New Roman"/>
                <w:color w:val="auto"/>
                <w:sz w:val="24"/>
                <w:highlight w:val="none"/>
                <w:lang w:val="en-US" w:eastAsia="zh-CN"/>
              </w:rPr>
              <w:t>为硝酸和硝酸钠</w:t>
            </w:r>
            <w:r>
              <w:rPr>
                <w:rFonts w:hint="default" w:ascii="Times New Roman" w:hAnsi="Times New Roman" w:eastAsia="宋体" w:cs="Times New Roman"/>
                <w:color w:val="auto"/>
                <w:spacing w:val="-10"/>
                <w:sz w:val="24"/>
                <w:highlight w:val="none"/>
              </w:rPr>
              <w:t>。</w:t>
            </w:r>
          </w:p>
          <w:p>
            <w:pPr>
              <w:adjustRightInd w:val="0"/>
              <w:snapToGrid w:val="0"/>
              <w:spacing w:line="500" w:lineRule="exact"/>
              <w:ind w:firstLine="482" w:firstLineChars="200"/>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7.2风险物质临界量</w:t>
            </w:r>
          </w:p>
          <w:p>
            <w:pPr>
              <w:widowControl/>
              <w:snapToGrid w:val="0"/>
              <w:spacing w:line="500" w:lineRule="exact"/>
              <w:ind w:firstLine="480" w:firstLineChars="200"/>
              <w:jc w:val="both"/>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计算所涉及的每种危险物质在厂界内的最大存在总量与其在</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建设项目环境风险评价技术导则</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HJ 169-2018</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附录B中对应临界量的比值Q。在不同厂区的同一种物质，按其在厂界内的最大存在总量计算。对于长输管线项目，按照两个截断阀室之间管段危险物质最大存在总计算。</w:t>
            </w:r>
          </w:p>
          <w:p>
            <w:pPr>
              <w:widowControl/>
              <w:snapToGrid w:val="0"/>
              <w:spacing w:line="500" w:lineRule="exact"/>
              <w:ind w:firstLine="480" w:firstLineChars="200"/>
              <w:jc w:val="both"/>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当只涉及一种危险物质时，计算该物质的总量与其临界量比值，即为Q；</w:t>
            </w:r>
          </w:p>
          <w:p>
            <w:pPr>
              <w:widowControl/>
              <w:snapToGrid w:val="0"/>
              <w:spacing w:line="500" w:lineRule="exact"/>
              <w:ind w:firstLine="480" w:firstLineChars="200"/>
              <w:jc w:val="both"/>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当存在多种危险物质时，则按式(C.1)计算物质总量与其临界量比值(Q)：</w:t>
            </w:r>
          </w:p>
          <w:p>
            <w:pPr>
              <w:widowControl/>
              <w:spacing w:line="360" w:lineRule="auto"/>
              <w:jc w:val="center"/>
              <w:rPr>
                <w:rFonts w:hint="default" w:ascii="Times New Roman" w:hAnsi="Times New Roman" w:eastAsia="宋体" w:cs="Times New Roman"/>
                <w:color w:val="auto"/>
                <w:szCs w:val="28"/>
                <w:highlight w:val="none"/>
              </w:rPr>
            </w:pPr>
            <w:r>
              <w:rPr>
                <w:rFonts w:hint="default" w:ascii="Times New Roman" w:hAnsi="Times New Roman" w:eastAsia="宋体" w:cs="Times New Roman"/>
                <w:color w:val="auto"/>
                <w:highlight w:val="none"/>
              </w:rPr>
              <w:drawing>
                <wp:inline distT="0" distB="0" distL="114300" distR="114300">
                  <wp:extent cx="4029075" cy="60007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2"/>
                          <a:stretch>
                            <a:fillRect/>
                          </a:stretch>
                        </pic:blipFill>
                        <pic:spPr>
                          <a:xfrm>
                            <a:off x="0" y="0"/>
                            <a:ext cx="4029075" cy="600075"/>
                          </a:xfrm>
                          <a:prstGeom prst="rect">
                            <a:avLst/>
                          </a:prstGeom>
                          <a:noFill/>
                          <a:ln>
                            <a:noFill/>
                          </a:ln>
                        </pic:spPr>
                      </pic:pic>
                    </a:graphicData>
                  </a:graphic>
                </wp:inline>
              </w:drawing>
            </w:r>
          </w:p>
          <w:p>
            <w:pPr>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b/>
                <w:color w:val="auto"/>
                <w:sz w:val="24"/>
                <w:highlight w:val="none"/>
              </w:rPr>
              <w:t>q</w:t>
            </w:r>
            <w:r>
              <w:rPr>
                <w:rFonts w:hint="default" w:ascii="Times New Roman" w:hAnsi="Times New Roman" w:eastAsia="宋体" w:cs="Times New Roman"/>
                <w:b/>
                <w:color w:val="auto"/>
                <w:sz w:val="24"/>
                <w:highlight w:val="none"/>
                <w:vertAlign w:val="subscript"/>
              </w:rPr>
              <w:t>1</w:t>
            </w:r>
            <w:r>
              <w:rPr>
                <w:rFonts w:hint="default" w:ascii="Times New Roman" w:hAnsi="Times New Roman" w:eastAsia="宋体" w:cs="Times New Roman"/>
                <w:b/>
                <w:color w:val="auto"/>
                <w:sz w:val="24"/>
                <w:highlight w:val="none"/>
              </w:rPr>
              <w:t>,q</w:t>
            </w:r>
            <w:r>
              <w:rPr>
                <w:rFonts w:hint="default" w:ascii="Times New Roman" w:hAnsi="Times New Roman" w:eastAsia="宋体" w:cs="Times New Roman"/>
                <w:b/>
                <w:color w:val="auto"/>
                <w:sz w:val="24"/>
                <w:highlight w:val="none"/>
                <w:vertAlign w:val="subscript"/>
              </w:rPr>
              <w:t>2</w:t>
            </w:r>
            <w:r>
              <w:rPr>
                <w:rFonts w:hint="default" w:ascii="Times New Roman" w:hAnsi="Times New Roman" w:eastAsia="宋体" w:cs="Times New Roman"/>
                <w:b/>
                <w:color w:val="auto"/>
                <w:sz w:val="24"/>
                <w:highlight w:val="none"/>
              </w:rPr>
              <w:t>…,q</w:t>
            </w:r>
            <w:r>
              <w:rPr>
                <w:rFonts w:hint="default" w:ascii="Times New Roman" w:hAnsi="Times New Roman" w:eastAsia="宋体" w:cs="Times New Roman"/>
                <w:b/>
                <w:color w:val="auto"/>
                <w:sz w:val="24"/>
                <w:highlight w:val="none"/>
                <w:vertAlign w:val="subscript"/>
              </w:rPr>
              <w:t>n</w:t>
            </w:r>
            <w:r>
              <w:rPr>
                <w:rFonts w:hint="default" w:ascii="Times New Roman" w:hAnsi="Times New Roman" w:eastAsia="宋体" w:cs="Times New Roman"/>
                <w:color w:val="auto"/>
                <w:sz w:val="24"/>
                <w:highlight w:val="none"/>
              </w:rPr>
              <w:t>--每种危险物质的最大存在总量，t。</w:t>
            </w:r>
          </w:p>
          <w:p>
            <w:pPr>
              <w:snapToGrid w:val="0"/>
              <w:spacing w:line="50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b/>
            </w:r>
            <w:r>
              <w:rPr>
                <w:rFonts w:hint="default" w:ascii="Times New Roman" w:hAnsi="Times New Roman" w:eastAsia="宋体" w:cs="Times New Roman"/>
                <w:color w:val="auto"/>
                <w:sz w:val="24"/>
                <w:highlight w:val="none"/>
              </w:rPr>
              <w:tab/>
            </w:r>
            <w:r>
              <w:rPr>
                <w:rFonts w:hint="default" w:ascii="Times New Roman" w:hAnsi="Times New Roman" w:eastAsia="宋体" w:cs="Times New Roman"/>
                <w:b/>
                <w:color w:val="auto"/>
                <w:sz w:val="24"/>
                <w:highlight w:val="none"/>
              </w:rPr>
              <w:t>Q</w:t>
            </w:r>
            <w:r>
              <w:rPr>
                <w:rFonts w:hint="default" w:ascii="Times New Roman" w:hAnsi="Times New Roman" w:eastAsia="宋体" w:cs="Times New Roman"/>
                <w:b/>
                <w:color w:val="auto"/>
                <w:sz w:val="24"/>
                <w:highlight w:val="none"/>
                <w:vertAlign w:val="subscript"/>
              </w:rPr>
              <w:t>1</w:t>
            </w:r>
            <w:r>
              <w:rPr>
                <w:rFonts w:hint="default" w:ascii="Times New Roman" w:hAnsi="Times New Roman" w:eastAsia="宋体" w:cs="Times New Roman"/>
                <w:b/>
                <w:color w:val="auto"/>
                <w:sz w:val="24"/>
                <w:highlight w:val="none"/>
              </w:rPr>
              <w:t>，Q</w:t>
            </w:r>
            <w:r>
              <w:rPr>
                <w:rFonts w:hint="default" w:ascii="Times New Roman" w:hAnsi="Times New Roman" w:eastAsia="宋体" w:cs="Times New Roman"/>
                <w:b/>
                <w:color w:val="auto"/>
                <w:sz w:val="24"/>
                <w:highlight w:val="none"/>
                <w:vertAlign w:val="subscript"/>
              </w:rPr>
              <w:t>2</w:t>
            </w:r>
            <w:r>
              <w:rPr>
                <w:rFonts w:hint="default" w:ascii="Times New Roman" w:hAnsi="Times New Roman" w:eastAsia="宋体" w:cs="Times New Roman"/>
                <w:b/>
                <w:color w:val="auto"/>
                <w:sz w:val="24"/>
                <w:highlight w:val="none"/>
              </w:rPr>
              <w:t>…Q</w:t>
            </w:r>
            <w:r>
              <w:rPr>
                <w:rFonts w:hint="default" w:ascii="Times New Roman" w:hAnsi="Times New Roman" w:eastAsia="宋体" w:cs="Times New Roman"/>
                <w:b/>
                <w:color w:val="auto"/>
                <w:sz w:val="24"/>
                <w:highlight w:val="none"/>
                <w:vertAlign w:val="subscript"/>
              </w:rPr>
              <w:t>n</w:t>
            </w:r>
            <w:r>
              <w:rPr>
                <w:rFonts w:hint="default" w:ascii="Times New Roman" w:hAnsi="Times New Roman" w:eastAsia="宋体" w:cs="Times New Roman"/>
                <w:color w:val="auto"/>
                <w:sz w:val="24"/>
                <w:highlight w:val="none"/>
              </w:rPr>
              <w:t>—每种危险物质的临界量，t。</w:t>
            </w:r>
          </w:p>
          <w:p>
            <w:pPr>
              <w:widowControl/>
              <w:snapToGrid w:val="0"/>
              <w:spacing w:line="500" w:lineRule="exact"/>
              <w:ind w:firstLine="480" w:firstLineChars="200"/>
              <w:jc w:val="both"/>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拟建项目涉及危险物质q/Q值计算见表4-</w:t>
            </w:r>
            <w:r>
              <w:rPr>
                <w:rFonts w:hint="default" w:ascii="Times New Roman" w:hAnsi="Times New Roman" w:eastAsia="宋体" w:cs="Times New Roman"/>
                <w:color w:val="auto"/>
                <w:sz w:val="24"/>
                <w:szCs w:val="28"/>
                <w:highlight w:val="none"/>
                <w:lang w:val="en-US" w:eastAsia="zh-CN"/>
              </w:rPr>
              <w:t>1</w:t>
            </w:r>
            <w:r>
              <w:rPr>
                <w:rFonts w:hint="eastAsia" w:cs="Times New Roman"/>
                <w:color w:val="auto"/>
                <w:sz w:val="24"/>
                <w:szCs w:val="28"/>
                <w:highlight w:val="none"/>
                <w:lang w:val="en-US" w:eastAsia="zh-CN"/>
              </w:rPr>
              <w:t>5</w:t>
            </w:r>
            <w:r>
              <w:rPr>
                <w:rFonts w:hint="default" w:ascii="Times New Roman" w:hAnsi="Times New Roman" w:eastAsia="宋体" w:cs="Times New Roman"/>
                <w:color w:val="auto"/>
                <w:sz w:val="24"/>
                <w:szCs w:val="28"/>
                <w:highlight w:val="none"/>
              </w:rPr>
              <w:t>。</w:t>
            </w:r>
          </w:p>
          <w:p>
            <w:pPr>
              <w:snapToGrid w:val="0"/>
              <w:spacing w:line="500" w:lineRule="exact"/>
              <w:jc w:val="center"/>
              <w:rPr>
                <w:rFonts w:hint="default" w:ascii="Times New Roman" w:hAnsi="Times New Roman" w:eastAsia="宋体" w:cs="Times New Roman"/>
                <w:b/>
                <w:color w:val="auto"/>
                <w:szCs w:val="28"/>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1</w:t>
            </w:r>
            <w:r>
              <w:rPr>
                <w:rFonts w:hint="eastAsia" w:cs="Times New Roman"/>
                <w:b/>
                <w:color w:val="auto"/>
                <w:sz w:val="24"/>
                <w:highlight w:val="none"/>
                <w:lang w:val="en-US" w:eastAsia="zh-CN"/>
              </w:rPr>
              <w:t>5</w:t>
            </w:r>
            <w:r>
              <w:rPr>
                <w:rFonts w:hint="default" w:ascii="Times New Roman" w:hAnsi="Times New Roman" w:eastAsia="宋体" w:cs="Times New Roman"/>
                <w:b/>
                <w:color w:val="auto"/>
                <w:sz w:val="24"/>
                <w:highlight w:val="none"/>
              </w:rPr>
              <w:t xml:space="preserve">  本项目风险物质及临界量比值情况</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625"/>
              <w:gridCol w:w="1918"/>
              <w:gridCol w:w="1223"/>
              <w:gridCol w:w="1674"/>
              <w:gridCol w:w="1807"/>
              <w:gridCol w:w="15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5" w:hRule="atLeast"/>
                <w:jc w:val="center"/>
              </w:trPr>
              <w:tc>
                <w:tcPr>
                  <w:tcW w:w="355" w:type="pct"/>
                  <w:noWrap w:val="0"/>
                  <w:vAlign w:val="center"/>
                </w:tcPr>
                <w:p>
                  <w:pPr>
                    <w:widowControl/>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序号</w:t>
                  </w:r>
                </w:p>
              </w:tc>
              <w:tc>
                <w:tcPr>
                  <w:tcW w:w="1089" w:type="pct"/>
                  <w:noWrap w:val="0"/>
                  <w:vAlign w:val="center"/>
                </w:tcPr>
                <w:p>
                  <w:pPr>
                    <w:widowControl/>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物质名称</w:t>
                  </w:r>
                </w:p>
              </w:tc>
              <w:tc>
                <w:tcPr>
                  <w:tcW w:w="694" w:type="pct"/>
                  <w:noWrap w:val="0"/>
                  <w:vAlign w:val="center"/>
                </w:tcPr>
                <w:p>
                  <w:pPr>
                    <w:widowControl/>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CAS号</w:t>
                  </w:r>
                </w:p>
              </w:tc>
              <w:tc>
                <w:tcPr>
                  <w:tcW w:w="950" w:type="pct"/>
                  <w:noWrap w:val="0"/>
                  <w:vAlign w:val="center"/>
                </w:tcPr>
                <w:p>
                  <w:pPr>
                    <w:widowControl/>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最大存储量q</w:t>
                  </w:r>
                </w:p>
              </w:tc>
              <w:tc>
                <w:tcPr>
                  <w:tcW w:w="1025" w:type="pct"/>
                  <w:noWrap w:val="0"/>
                  <w:vAlign w:val="center"/>
                </w:tcPr>
                <w:p>
                  <w:pPr>
                    <w:widowControl/>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临界量Q</w:t>
                  </w:r>
                </w:p>
              </w:tc>
              <w:tc>
                <w:tcPr>
                  <w:tcW w:w="885" w:type="pct"/>
                  <w:noWrap w:val="0"/>
                  <w:vAlign w:val="center"/>
                </w:tcPr>
                <w:p>
                  <w:pPr>
                    <w:widowControl/>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q/Q</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5" w:type="pct"/>
                  <w:noWrap w:val="0"/>
                  <w:vAlign w:val="center"/>
                </w:tcPr>
                <w:p>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1089"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测试油</w:t>
                  </w:r>
                </w:p>
              </w:tc>
              <w:tc>
                <w:tcPr>
                  <w:tcW w:w="694"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50"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1025"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2500</w:t>
                  </w:r>
                </w:p>
              </w:tc>
              <w:tc>
                <w:tcPr>
                  <w:tcW w:w="88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5" w:type="pct"/>
                  <w:noWrap w:val="0"/>
                  <w:vAlign w:val="center"/>
                </w:tcPr>
                <w:p>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1089"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硝酸</w:t>
                  </w:r>
                </w:p>
              </w:tc>
              <w:tc>
                <w:tcPr>
                  <w:tcW w:w="694"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50" w:type="pc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1</w:t>
                  </w:r>
                </w:p>
              </w:tc>
              <w:tc>
                <w:tcPr>
                  <w:tcW w:w="102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7.5</w:t>
                  </w:r>
                </w:p>
              </w:tc>
              <w:tc>
                <w:tcPr>
                  <w:tcW w:w="88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5" w:type="pct"/>
                  <w:noWrap w:val="0"/>
                  <w:vAlign w:val="center"/>
                </w:tcPr>
                <w:p>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1089"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硝酸钠</w:t>
                  </w:r>
                </w:p>
              </w:tc>
              <w:tc>
                <w:tcPr>
                  <w:tcW w:w="694"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50"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0.5</w:t>
                  </w:r>
                </w:p>
              </w:tc>
              <w:tc>
                <w:tcPr>
                  <w:tcW w:w="102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7.5（参照硝酸）</w:t>
                  </w:r>
                </w:p>
              </w:tc>
              <w:tc>
                <w:tcPr>
                  <w:tcW w:w="88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0.0667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5" w:type="pct"/>
                  <w:noWrap w:val="0"/>
                  <w:vAlign w:val="center"/>
                </w:tcPr>
                <w:p>
                  <w:pPr>
                    <w:widowControl/>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w:t>
                  </w:r>
                </w:p>
              </w:tc>
              <w:tc>
                <w:tcPr>
                  <w:tcW w:w="1089"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5088清洗液</w:t>
                  </w:r>
                </w:p>
              </w:tc>
              <w:tc>
                <w:tcPr>
                  <w:tcW w:w="694"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950"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0.5</w:t>
                  </w:r>
                </w:p>
              </w:tc>
              <w:tc>
                <w:tcPr>
                  <w:tcW w:w="1025"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200</w:t>
                  </w:r>
                </w:p>
              </w:tc>
              <w:tc>
                <w:tcPr>
                  <w:tcW w:w="88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5" w:type="pct"/>
                  <w:noWrap w:val="0"/>
                  <w:vAlign w:val="center"/>
                </w:tcPr>
                <w:p>
                  <w:pPr>
                    <w:widowControl/>
                    <w:jc w:val="center"/>
                    <w:rPr>
                      <w:rFonts w:hint="default"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5</w:t>
                  </w:r>
                </w:p>
              </w:tc>
              <w:tc>
                <w:tcPr>
                  <w:tcW w:w="1089"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废电解液</w:t>
                  </w:r>
                </w:p>
              </w:tc>
              <w:tc>
                <w:tcPr>
                  <w:tcW w:w="694" w:type="pct"/>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w:t>
                  </w:r>
                </w:p>
              </w:tc>
              <w:tc>
                <w:tcPr>
                  <w:tcW w:w="950"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102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200</w:t>
                  </w:r>
                </w:p>
              </w:tc>
              <w:tc>
                <w:tcPr>
                  <w:tcW w:w="88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5" w:type="pct"/>
                  <w:noWrap w:val="0"/>
                  <w:vAlign w:val="center"/>
                </w:tcPr>
                <w:p>
                  <w:pPr>
                    <w:widowControl/>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6</w:t>
                  </w:r>
                </w:p>
              </w:tc>
              <w:tc>
                <w:tcPr>
                  <w:tcW w:w="1089" w:type="pct"/>
                  <w:noWrap w:val="0"/>
                  <w:vAlign w:val="center"/>
                </w:tcPr>
                <w:p>
                  <w:pPr>
                    <w:jc w:val="center"/>
                    <w:rPr>
                      <w:rFonts w:hint="default"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浓缩废液</w:t>
                  </w:r>
                </w:p>
              </w:tc>
              <w:tc>
                <w:tcPr>
                  <w:tcW w:w="694"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50"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10</w:t>
                  </w:r>
                </w:p>
              </w:tc>
              <w:tc>
                <w:tcPr>
                  <w:tcW w:w="102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200</w:t>
                  </w:r>
                </w:p>
              </w:tc>
              <w:tc>
                <w:tcPr>
                  <w:tcW w:w="88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5" w:type="pct"/>
                  <w:noWrap w:val="0"/>
                  <w:vAlign w:val="center"/>
                </w:tcPr>
                <w:p>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7</w:t>
                  </w:r>
                </w:p>
              </w:tc>
              <w:tc>
                <w:tcPr>
                  <w:tcW w:w="1089"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离心分离和超滤废液</w:t>
                  </w:r>
                </w:p>
              </w:tc>
              <w:tc>
                <w:tcPr>
                  <w:tcW w:w="694"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950" w:type="pct"/>
                  <w:noWrap w:val="0"/>
                  <w:vAlign w:val="center"/>
                </w:tcPr>
                <w:p>
                  <w:pPr>
                    <w:jc w:val="center"/>
                  </w:pPr>
                  <w:r>
                    <w:rPr>
                      <w:rFonts w:hint="eastAsia" w:cs="Times New Roman"/>
                      <w:color w:val="auto"/>
                      <w:szCs w:val="21"/>
                      <w:highlight w:val="none"/>
                      <w:lang w:val="en-US" w:eastAsia="zh-CN"/>
                    </w:rPr>
                    <w:t>10</w:t>
                  </w:r>
                </w:p>
              </w:tc>
              <w:tc>
                <w:tcPr>
                  <w:tcW w:w="102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200</w:t>
                  </w:r>
                </w:p>
              </w:tc>
              <w:tc>
                <w:tcPr>
                  <w:tcW w:w="88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114" w:type="pct"/>
                  <w:gridSpan w:val="5"/>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合计</w:t>
                  </w:r>
                  <w:r>
                    <w:rPr>
                      <w:rFonts w:hint="default" w:ascii="Times New Roman" w:hAnsi="Times New Roman" w:eastAsia="宋体" w:cs="Times New Roman"/>
                      <w:b/>
                      <w:color w:val="auto"/>
                      <w:szCs w:val="21"/>
                      <w:highlight w:val="none"/>
                    </w:rPr>
                    <w:t>（Σ</w:t>
                  </w:r>
                  <w:r>
                    <w:rPr>
                      <w:rFonts w:hint="default" w:ascii="Times New Roman" w:hAnsi="Times New Roman" w:eastAsia="宋体" w:cs="Times New Roman"/>
                      <w:b/>
                      <w:bCs/>
                      <w:color w:val="auto"/>
                      <w:kern w:val="0"/>
                      <w:szCs w:val="21"/>
                      <w:highlight w:val="none"/>
                    </w:rPr>
                    <w:t>q/Q</w:t>
                  </w:r>
                  <w:r>
                    <w:rPr>
                      <w:rFonts w:hint="default" w:ascii="Times New Roman" w:hAnsi="Times New Roman" w:eastAsia="宋体" w:cs="Times New Roman"/>
                      <w:b/>
                      <w:color w:val="auto"/>
                      <w:szCs w:val="21"/>
                      <w:highlight w:val="none"/>
                    </w:rPr>
                    <w:t>）</w:t>
                  </w:r>
                </w:p>
              </w:tc>
              <w:tc>
                <w:tcPr>
                  <w:tcW w:w="88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0.1879 </w:t>
                  </w:r>
                </w:p>
              </w:tc>
            </w:tr>
          </w:tbl>
          <w:p>
            <w:pPr>
              <w:widowControl/>
              <w:spacing w:line="480" w:lineRule="exact"/>
              <w:ind w:firstLine="480" w:firstLineChars="200"/>
              <w:jc w:val="both"/>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由上表可知，本项目</w:t>
            </w:r>
            <w:r>
              <w:rPr>
                <w:rFonts w:hint="default" w:ascii="Times New Roman" w:hAnsi="Times New Roman" w:eastAsia="宋体" w:cs="Times New Roman"/>
                <w:color w:val="auto"/>
                <w:sz w:val="24"/>
                <w:highlight w:val="none"/>
              </w:rPr>
              <w:t>环境风险物质的存储量均较小，</w:t>
            </w:r>
            <w:r>
              <w:rPr>
                <w:rFonts w:hint="default" w:ascii="Times New Roman" w:hAnsi="Times New Roman" w:eastAsia="宋体" w:cs="Times New Roman"/>
                <w:color w:val="auto"/>
                <w:sz w:val="24"/>
                <w:szCs w:val="28"/>
                <w:highlight w:val="none"/>
              </w:rPr>
              <w:t>Q</w:t>
            </w:r>
            <w:r>
              <w:rPr>
                <w:rFonts w:hint="default" w:ascii="Times New Roman" w:hAnsi="Times New Roman" w:eastAsia="宋体" w:cs="Times New Roman"/>
                <w:color w:val="auto"/>
                <w:sz w:val="24"/>
                <w:highlight w:val="none"/>
              </w:rPr>
              <w:t>＜1，环境风险较小。</w:t>
            </w:r>
          </w:p>
          <w:p>
            <w:pPr>
              <w:adjustRightInd w:val="0"/>
              <w:snapToGrid w:val="0"/>
              <w:spacing w:line="480" w:lineRule="exact"/>
              <w:ind w:left="405"/>
              <w:jc w:val="both"/>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 xml:space="preserve">7.3风险源分布情况及可能影响的途径 </w:t>
            </w:r>
          </w:p>
          <w:p>
            <w:pPr>
              <w:adjustRightInd w:val="0"/>
              <w:snapToGrid w:val="0"/>
              <w:spacing w:line="500" w:lineRule="exact"/>
              <w:jc w:val="center"/>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表4-</w:t>
            </w:r>
            <w:r>
              <w:rPr>
                <w:rFonts w:hint="eastAsia" w:cs="Times New Roman"/>
                <w:b/>
                <w:bCs/>
                <w:color w:val="auto"/>
                <w:spacing w:val="-10"/>
                <w:sz w:val="24"/>
                <w:highlight w:val="none"/>
                <w:lang w:val="en-US" w:eastAsia="zh-CN"/>
              </w:rPr>
              <w:t>16</w:t>
            </w:r>
            <w:r>
              <w:rPr>
                <w:rFonts w:hint="default" w:ascii="Times New Roman" w:hAnsi="Times New Roman" w:eastAsia="宋体" w:cs="Times New Roman"/>
                <w:b/>
                <w:bCs/>
                <w:color w:val="auto"/>
                <w:spacing w:val="-10"/>
                <w:sz w:val="24"/>
                <w:highlight w:val="none"/>
                <w:lang w:val="en-US" w:eastAsia="zh-CN"/>
              </w:rPr>
              <w:t xml:space="preserve">   </w:t>
            </w:r>
            <w:r>
              <w:rPr>
                <w:rFonts w:hint="default" w:ascii="Times New Roman" w:hAnsi="Times New Roman" w:eastAsia="宋体" w:cs="Times New Roman"/>
                <w:b/>
                <w:bCs/>
                <w:color w:val="auto"/>
                <w:spacing w:val="-10"/>
                <w:sz w:val="24"/>
                <w:highlight w:val="none"/>
              </w:rPr>
              <w:t>本项目环境风险源分布情况及可能的影响途径</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437"/>
              <w:gridCol w:w="664"/>
              <w:gridCol w:w="1302"/>
              <w:gridCol w:w="999"/>
              <w:gridCol w:w="876"/>
              <w:gridCol w:w="452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48" w:type="pct"/>
                  <w:noWrap w:val="0"/>
                  <w:vAlign w:val="center"/>
                </w:tcPr>
                <w:p>
                  <w:pPr>
                    <w:adjustRightInd w:val="0"/>
                    <w:snapToGrid w:val="0"/>
                    <w:jc w:val="center"/>
                    <w:rPr>
                      <w:rFonts w:hint="default" w:ascii="Times New Roman" w:hAnsi="Times New Roman" w:eastAsia="宋体" w:cs="Times New Roman"/>
                      <w:b/>
                      <w:bCs/>
                      <w:color w:val="auto"/>
                      <w:spacing w:val="-10"/>
                      <w:highlight w:val="none"/>
                    </w:rPr>
                  </w:pPr>
                  <w:r>
                    <w:rPr>
                      <w:rFonts w:hint="default" w:ascii="Times New Roman" w:hAnsi="Times New Roman" w:eastAsia="宋体" w:cs="Times New Roman"/>
                      <w:b/>
                      <w:bCs/>
                      <w:color w:val="auto"/>
                      <w:spacing w:val="-10"/>
                      <w:highlight w:val="none"/>
                    </w:rPr>
                    <w:t>序号</w:t>
                  </w:r>
                </w:p>
              </w:tc>
              <w:tc>
                <w:tcPr>
                  <w:tcW w:w="377" w:type="pct"/>
                  <w:noWrap w:val="0"/>
                  <w:vAlign w:val="center"/>
                </w:tcPr>
                <w:p>
                  <w:pPr>
                    <w:adjustRightInd w:val="0"/>
                    <w:snapToGrid w:val="0"/>
                    <w:jc w:val="center"/>
                    <w:rPr>
                      <w:rFonts w:hint="default" w:ascii="Times New Roman" w:hAnsi="Times New Roman" w:eastAsia="宋体" w:cs="Times New Roman"/>
                      <w:b/>
                      <w:bCs/>
                      <w:color w:val="auto"/>
                      <w:spacing w:val="-10"/>
                      <w:highlight w:val="none"/>
                    </w:rPr>
                  </w:pPr>
                  <w:r>
                    <w:rPr>
                      <w:rFonts w:hint="default" w:ascii="Times New Roman" w:hAnsi="Times New Roman" w:eastAsia="宋体" w:cs="Times New Roman"/>
                      <w:b/>
                      <w:bCs/>
                      <w:color w:val="auto"/>
                      <w:spacing w:val="-10"/>
                      <w:highlight w:val="none"/>
                    </w:rPr>
                    <w:t>风险单元</w:t>
                  </w:r>
                </w:p>
              </w:tc>
              <w:tc>
                <w:tcPr>
                  <w:tcW w:w="739" w:type="pct"/>
                  <w:noWrap w:val="0"/>
                  <w:vAlign w:val="center"/>
                </w:tcPr>
                <w:p>
                  <w:pPr>
                    <w:adjustRightInd w:val="0"/>
                    <w:snapToGrid w:val="0"/>
                    <w:jc w:val="center"/>
                    <w:rPr>
                      <w:rFonts w:hint="default" w:ascii="Times New Roman" w:hAnsi="Times New Roman" w:eastAsia="宋体" w:cs="Times New Roman"/>
                      <w:b/>
                      <w:bCs/>
                      <w:color w:val="auto"/>
                      <w:spacing w:val="-10"/>
                      <w:highlight w:val="none"/>
                    </w:rPr>
                  </w:pPr>
                  <w:r>
                    <w:rPr>
                      <w:rFonts w:hint="default" w:ascii="Times New Roman" w:hAnsi="Times New Roman" w:eastAsia="宋体" w:cs="Times New Roman"/>
                      <w:b/>
                      <w:bCs/>
                      <w:color w:val="auto"/>
                      <w:spacing w:val="-10"/>
                      <w:highlight w:val="none"/>
                    </w:rPr>
                    <w:t>风险源</w:t>
                  </w:r>
                </w:p>
              </w:tc>
              <w:tc>
                <w:tcPr>
                  <w:tcW w:w="567" w:type="pct"/>
                  <w:noWrap w:val="0"/>
                  <w:vAlign w:val="center"/>
                </w:tcPr>
                <w:p>
                  <w:pPr>
                    <w:adjustRightInd w:val="0"/>
                    <w:snapToGrid w:val="0"/>
                    <w:jc w:val="center"/>
                    <w:rPr>
                      <w:rFonts w:hint="default" w:ascii="Times New Roman" w:hAnsi="Times New Roman" w:eastAsia="宋体" w:cs="Times New Roman"/>
                      <w:b/>
                      <w:bCs/>
                      <w:color w:val="auto"/>
                      <w:spacing w:val="-10"/>
                      <w:highlight w:val="none"/>
                    </w:rPr>
                  </w:pPr>
                  <w:r>
                    <w:rPr>
                      <w:rFonts w:hint="default" w:ascii="Times New Roman" w:hAnsi="Times New Roman" w:eastAsia="宋体" w:cs="Times New Roman"/>
                      <w:b/>
                      <w:bCs/>
                      <w:color w:val="auto"/>
                      <w:spacing w:val="-10"/>
                      <w:highlight w:val="none"/>
                    </w:rPr>
                    <w:t>风险物质</w:t>
                  </w:r>
                </w:p>
              </w:tc>
              <w:tc>
                <w:tcPr>
                  <w:tcW w:w="497" w:type="pct"/>
                  <w:noWrap w:val="0"/>
                  <w:vAlign w:val="center"/>
                </w:tcPr>
                <w:p>
                  <w:pPr>
                    <w:adjustRightInd w:val="0"/>
                    <w:snapToGrid w:val="0"/>
                    <w:jc w:val="center"/>
                    <w:rPr>
                      <w:rFonts w:hint="default" w:ascii="Times New Roman" w:hAnsi="Times New Roman" w:eastAsia="宋体" w:cs="Times New Roman"/>
                      <w:b/>
                      <w:bCs/>
                      <w:color w:val="auto"/>
                      <w:spacing w:val="-10"/>
                      <w:highlight w:val="none"/>
                    </w:rPr>
                  </w:pPr>
                  <w:r>
                    <w:rPr>
                      <w:rFonts w:hint="default" w:ascii="Times New Roman" w:hAnsi="Times New Roman" w:eastAsia="宋体" w:cs="Times New Roman"/>
                      <w:b/>
                      <w:bCs/>
                      <w:color w:val="auto"/>
                      <w:spacing w:val="-10"/>
                      <w:highlight w:val="none"/>
                    </w:rPr>
                    <w:t>风险</w:t>
                  </w:r>
                </w:p>
                <w:p>
                  <w:pPr>
                    <w:adjustRightInd w:val="0"/>
                    <w:snapToGrid w:val="0"/>
                    <w:jc w:val="center"/>
                    <w:rPr>
                      <w:rFonts w:hint="default" w:ascii="Times New Roman" w:hAnsi="Times New Roman" w:eastAsia="宋体" w:cs="Times New Roman"/>
                      <w:b/>
                      <w:bCs/>
                      <w:color w:val="auto"/>
                      <w:spacing w:val="-10"/>
                      <w:highlight w:val="none"/>
                    </w:rPr>
                  </w:pPr>
                  <w:r>
                    <w:rPr>
                      <w:rFonts w:hint="default" w:ascii="Times New Roman" w:hAnsi="Times New Roman" w:eastAsia="宋体" w:cs="Times New Roman"/>
                      <w:b/>
                      <w:bCs/>
                      <w:color w:val="auto"/>
                      <w:spacing w:val="-10"/>
                      <w:highlight w:val="none"/>
                    </w:rPr>
                    <w:t>类型</w:t>
                  </w:r>
                </w:p>
              </w:tc>
              <w:tc>
                <w:tcPr>
                  <w:tcW w:w="2570" w:type="pct"/>
                  <w:noWrap w:val="0"/>
                  <w:vAlign w:val="center"/>
                </w:tcPr>
                <w:p>
                  <w:pPr>
                    <w:adjustRightInd w:val="0"/>
                    <w:snapToGrid w:val="0"/>
                    <w:jc w:val="center"/>
                    <w:rPr>
                      <w:rFonts w:hint="default" w:ascii="Times New Roman" w:hAnsi="Times New Roman" w:eastAsia="宋体" w:cs="Times New Roman"/>
                      <w:b/>
                      <w:bCs/>
                      <w:color w:val="auto"/>
                      <w:spacing w:val="-10"/>
                      <w:highlight w:val="none"/>
                    </w:rPr>
                  </w:pPr>
                  <w:r>
                    <w:rPr>
                      <w:rFonts w:hint="default" w:ascii="Times New Roman" w:hAnsi="Times New Roman" w:eastAsia="宋体" w:cs="Times New Roman"/>
                      <w:b/>
                      <w:bCs/>
                      <w:color w:val="auto"/>
                      <w:spacing w:val="-10"/>
                      <w:highlight w:val="none"/>
                    </w:rPr>
                    <w:t>影响途径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48"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1</w:t>
                  </w:r>
                </w:p>
              </w:tc>
              <w:tc>
                <w:tcPr>
                  <w:tcW w:w="377"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存储单元</w:t>
                  </w:r>
                </w:p>
              </w:tc>
              <w:tc>
                <w:tcPr>
                  <w:tcW w:w="739"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化学品仓库</w:t>
                  </w:r>
                </w:p>
              </w:tc>
              <w:tc>
                <w:tcPr>
                  <w:tcW w:w="567"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eastAsia" w:cs="Times New Roman"/>
                      <w:bCs/>
                      <w:color w:val="auto"/>
                      <w:spacing w:val="-10"/>
                      <w:highlight w:val="none"/>
                      <w:lang w:val="en-US" w:eastAsia="zh-CN"/>
                    </w:rPr>
                    <w:t>测试油</w:t>
                  </w:r>
                  <w:r>
                    <w:rPr>
                      <w:rFonts w:hint="default" w:ascii="Times New Roman" w:hAnsi="Times New Roman" w:eastAsia="宋体" w:cs="Times New Roman"/>
                      <w:bCs/>
                      <w:color w:val="auto"/>
                      <w:spacing w:val="-10"/>
                      <w:highlight w:val="none"/>
                    </w:rPr>
                    <w:t>、清洗剂</w:t>
                  </w:r>
                </w:p>
              </w:tc>
              <w:tc>
                <w:tcPr>
                  <w:tcW w:w="497"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泄漏</w:t>
                  </w:r>
                </w:p>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火灾</w:t>
                  </w:r>
                </w:p>
              </w:tc>
              <w:tc>
                <w:tcPr>
                  <w:tcW w:w="2570" w:type="pct"/>
                  <w:noWrap w:val="0"/>
                  <w:vAlign w:val="center"/>
                </w:tcPr>
                <w:p>
                  <w:pPr>
                    <w:numPr>
                      <w:ilvl w:val="0"/>
                      <w:numId w:val="15"/>
                    </w:num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泄漏液进入地表水环境影响水质和水生生态环境；</w:t>
                  </w:r>
                </w:p>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2、泄漏液遇明火、高温、静电等引发火灾。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48"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2</w:t>
                  </w:r>
                </w:p>
              </w:tc>
              <w:tc>
                <w:tcPr>
                  <w:tcW w:w="377" w:type="pct"/>
                  <w:vMerge w:val="restar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生产单元</w:t>
                  </w:r>
                </w:p>
              </w:tc>
              <w:tc>
                <w:tcPr>
                  <w:tcW w:w="739"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供油中心及管道</w:t>
                  </w:r>
                </w:p>
              </w:tc>
              <w:tc>
                <w:tcPr>
                  <w:tcW w:w="567" w:type="pct"/>
                  <w:noWrap w:val="0"/>
                  <w:vAlign w:val="center"/>
                </w:tcPr>
                <w:p>
                  <w:pPr>
                    <w:adjustRightInd w:val="0"/>
                    <w:snapToGrid w:val="0"/>
                    <w:jc w:val="center"/>
                    <w:rPr>
                      <w:rFonts w:hint="eastAsia" w:ascii="Times New Roman" w:hAnsi="Times New Roman" w:eastAsia="宋体" w:cs="Times New Roman"/>
                      <w:bCs/>
                      <w:color w:val="auto"/>
                      <w:spacing w:val="-10"/>
                      <w:highlight w:val="none"/>
                      <w:lang w:val="en-US" w:eastAsia="zh-CN"/>
                    </w:rPr>
                  </w:pPr>
                  <w:r>
                    <w:rPr>
                      <w:rFonts w:hint="eastAsia" w:cs="Times New Roman"/>
                      <w:bCs/>
                      <w:color w:val="auto"/>
                      <w:spacing w:val="-10"/>
                      <w:highlight w:val="none"/>
                      <w:lang w:val="en-US" w:eastAsia="zh-CN"/>
                    </w:rPr>
                    <w:t>测试油</w:t>
                  </w:r>
                </w:p>
              </w:tc>
              <w:tc>
                <w:tcPr>
                  <w:tcW w:w="497"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泄漏</w:t>
                  </w:r>
                </w:p>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火灾</w:t>
                  </w:r>
                </w:p>
              </w:tc>
              <w:tc>
                <w:tcPr>
                  <w:tcW w:w="2570"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1、泄漏液进入地表水环境影响水质和水生生态环境；</w:t>
                  </w:r>
                </w:p>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2、泄漏液遇明火、高温、静电等引发火灾。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48" w:type="pct"/>
                  <w:noWrap w:val="0"/>
                  <w:vAlign w:val="center"/>
                </w:tcPr>
                <w:p>
                  <w:pPr>
                    <w:adjustRightInd w:val="0"/>
                    <w:snapToGrid w:val="0"/>
                    <w:jc w:val="center"/>
                    <w:rPr>
                      <w:rFonts w:hint="default" w:ascii="Times New Roman" w:hAnsi="Times New Roman" w:eastAsia="宋体" w:cs="Times New Roman"/>
                      <w:bCs/>
                      <w:color w:val="auto"/>
                      <w:spacing w:val="-10"/>
                      <w:highlight w:val="none"/>
                      <w:lang w:val="en-US" w:eastAsia="zh-CN"/>
                    </w:rPr>
                  </w:pPr>
                  <w:r>
                    <w:rPr>
                      <w:rFonts w:hint="default" w:ascii="Times New Roman" w:hAnsi="Times New Roman" w:eastAsia="宋体" w:cs="Times New Roman"/>
                      <w:bCs/>
                      <w:color w:val="auto"/>
                      <w:spacing w:val="-10"/>
                      <w:highlight w:val="none"/>
                      <w:lang w:val="en-US" w:eastAsia="zh-CN"/>
                    </w:rPr>
                    <w:t>3</w:t>
                  </w:r>
                </w:p>
              </w:tc>
              <w:tc>
                <w:tcPr>
                  <w:tcW w:w="377" w:type="pct"/>
                  <w:vMerge w:val="continue"/>
                  <w:noWrap w:val="0"/>
                  <w:vAlign w:val="center"/>
                </w:tcPr>
                <w:p>
                  <w:pPr>
                    <w:adjustRightInd w:val="0"/>
                    <w:snapToGrid w:val="0"/>
                    <w:jc w:val="center"/>
                    <w:rPr>
                      <w:rFonts w:hint="default" w:ascii="Times New Roman" w:hAnsi="Times New Roman" w:eastAsia="宋体" w:cs="Times New Roman"/>
                      <w:bCs/>
                      <w:color w:val="auto"/>
                      <w:spacing w:val="-10"/>
                      <w:highlight w:val="none"/>
                    </w:rPr>
                  </w:pPr>
                </w:p>
              </w:tc>
              <w:tc>
                <w:tcPr>
                  <w:tcW w:w="739" w:type="pct"/>
                  <w:noWrap w:val="0"/>
                  <w:vAlign w:val="center"/>
                </w:tcPr>
                <w:p>
                  <w:pPr>
                    <w:adjustRightInd w:val="0"/>
                    <w:snapToGrid w:val="0"/>
                    <w:jc w:val="center"/>
                    <w:rPr>
                      <w:rFonts w:hint="default" w:ascii="Times New Roman" w:hAnsi="Times New Roman" w:eastAsia="宋体" w:cs="Times New Roman"/>
                      <w:bCs/>
                      <w:color w:val="auto"/>
                      <w:spacing w:val="-10"/>
                      <w:highlight w:val="none"/>
                      <w:lang w:val="en-US" w:eastAsia="zh-CN"/>
                    </w:rPr>
                  </w:pPr>
                  <w:r>
                    <w:rPr>
                      <w:rFonts w:hint="default" w:ascii="Times New Roman" w:hAnsi="Times New Roman" w:eastAsia="宋体" w:cs="Times New Roman"/>
                      <w:bCs/>
                      <w:color w:val="auto"/>
                      <w:spacing w:val="-10"/>
                      <w:highlight w:val="none"/>
                      <w:lang w:val="en-US" w:eastAsia="zh-CN"/>
                    </w:rPr>
                    <w:t>原料暂存区</w:t>
                  </w:r>
                </w:p>
              </w:tc>
              <w:tc>
                <w:tcPr>
                  <w:tcW w:w="567" w:type="pct"/>
                  <w:noWrap w:val="0"/>
                  <w:vAlign w:val="center"/>
                </w:tcPr>
                <w:p>
                  <w:pPr>
                    <w:adjustRightInd w:val="0"/>
                    <w:snapToGrid w:val="0"/>
                    <w:jc w:val="center"/>
                    <w:rPr>
                      <w:rFonts w:hint="default" w:ascii="Times New Roman" w:hAnsi="Times New Roman" w:eastAsia="宋体" w:cs="Times New Roman"/>
                      <w:bCs/>
                      <w:color w:val="auto"/>
                      <w:spacing w:val="-10"/>
                      <w:highlight w:val="none"/>
                      <w:lang w:val="en-US" w:eastAsia="zh-CN"/>
                    </w:rPr>
                  </w:pPr>
                  <w:r>
                    <w:rPr>
                      <w:rFonts w:hint="eastAsia" w:cs="Times New Roman"/>
                      <w:bCs/>
                      <w:color w:val="auto"/>
                      <w:spacing w:val="-10"/>
                      <w:highlight w:val="none"/>
                      <w:lang w:val="en-US" w:eastAsia="zh-CN"/>
                    </w:rPr>
                    <w:t>清洗剂</w:t>
                  </w:r>
                </w:p>
              </w:tc>
              <w:tc>
                <w:tcPr>
                  <w:tcW w:w="497"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泄漏</w:t>
                  </w:r>
                </w:p>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火灾</w:t>
                  </w:r>
                </w:p>
              </w:tc>
              <w:tc>
                <w:tcPr>
                  <w:tcW w:w="2570"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1、泄漏液进入地表水环境影响水质和水生生态环境；</w:t>
                  </w:r>
                </w:p>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2、泄漏液遇明火、高温、静电等引发火灾。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248" w:type="pct"/>
                  <w:noWrap w:val="0"/>
                  <w:vAlign w:val="center"/>
                </w:tcPr>
                <w:p>
                  <w:pPr>
                    <w:adjustRightInd w:val="0"/>
                    <w:snapToGrid w:val="0"/>
                    <w:jc w:val="center"/>
                    <w:rPr>
                      <w:rFonts w:hint="default" w:ascii="Times New Roman" w:hAnsi="Times New Roman" w:eastAsia="宋体" w:cs="Times New Roman"/>
                      <w:bCs/>
                      <w:color w:val="auto"/>
                      <w:spacing w:val="-10"/>
                      <w:highlight w:val="none"/>
                      <w:lang w:val="en-US" w:eastAsia="zh-CN"/>
                    </w:rPr>
                  </w:pPr>
                  <w:r>
                    <w:rPr>
                      <w:rFonts w:hint="eastAsia" w:cs="Times New Roman"/>
                      <w:bCs/>
                      <w:color w:val="auto"/>
                      <w:spacing w:val="-10"/>
                      <w:highlight w:val="none"/>
                      <w:lang w:val="en-US" w:eastAsia="zh-CN"/>
                    </w:rPr>
                    <w:t>4</w:t>
                  </w:r>
                </w:p>
              </w:tc>
              <w:tc>
                <w:tcPr>
                  <w:tcW w:w="377" w:type="pct"/>
                  <w:vMerge w:val="continue"/>
                  <w:noWrap w:val="0"/>
                  <w:vAlign w:val="center"/>
                </w:tcPr>
                <w:p>
                  <w:pPr>
                    <w:adjustRightInd w:val="0"/>
                    <w:snapToGrid w:val="0"/>
                    <w:jc w:val="center"/>
                    <w:rPr>
                      <w:rFonts w:hint="default" w:ascii="Times New Roman" w:hAnsi="Times New Roman" w:eastAsia="宋体" w:cs="Times New Roman"/>
                      <w:bCs/>
                      <w:color w:val="auto"/>
                      <w:spacing w:val="-10"/>
                      <w:highlight w:val="none"/>
                    </w:rPr>
                  </w:pPr>
                </w:p>
              </w:tc>
              <w:tc>
                <w:tcPr>
                  <w:tcW w:w="739" w:type="pct"/>
                  <w:noWrap w:val="0"/>
                  <w:vAlign w:val="center"/>
                </w:tcPr>
                <w:p>
                  <w:pPr>
                    <w:adjustRightInd w:val="0"/>
                    <w:snapToGrid w:val="0"/>
                    <w:jc w:val="center"/>
                    <w:rPr>
                      <w:rFonts w:hint="default" w:ascii="Times New Roman" w:hAnsi="Times New Roman" w:eastAsia="宋体" w:cs="Times New Roman"/>
                      <w:bCs/>
                      <w:color w:val="auto"/>
                      <w:spacing w:val="-10"/>
                      <w:highlight w:val="none"/>
                      <w:lang w:val="en-US" w:eastAsia="zh-CN"/>
                    </w:rPr>
                  </w:pPr>
                  <w:r>
                    <w:rPr>
                      <w:rFonts w:hint="eastAsia" w:cs="Times New Roman"/>
                      <w:bCs/>
                      <w:color w:val="auto"/>
                      <w:spacing w:val="-10"/>
                      <w:highlight w:val="none"/>
                      <w:lang w:val="en-US" w:eastAsia="zh-CN"/>
                    </w:rPr>
                    <w:t>电化学区域</w:t>
                  </w:r>
                </w:p>
              </w:tc>
              <w:tc>
                <w:tcPr>
                  <w:tcW w:w="567" w:type="pct"/>
                  <w:noWrap w:val="0"/>
                  <w:vAlign w:val="center"/>
                </w:tcPr>
                <w:p>
                  <w:pPr>
                    <w:adjustRightInd w:val="0"/>
                    <w:snapToGrid w:val="0"/>
                    <w:jc w:val="center"/>
                    <w:rPr>
                      <w:rFonts w:hint="default" w:ascii="Times New Roman" w:hAnsi="Times New Roman" w:eastAsia="宋体" w:cs="Times New Roman"/>
                      <w:bCs/>
                      <w:color w:val="auto"/>
                      <w:spacing w:val="-10"/>
                      <w:highlight w:val="none"/>
                      <w:lang w:val="en-US" w:eastAsia="zh-CN"/>
                    </w:rPr>
                  </w:pPr>
                  <w:r>
                    <w:rPr>
                      <w:rFonts w:hint="eastAsia" w:cs="Times New Roman"/>
                      <w:bCs/>
                      <w:color w:val="auto"/>
                      <w:spacing w:val="-10"/>
                      <w:highlight w:val="none"/>
                      <w:lang w:val="en-US" w:eastAsia="zh-CN"/>
                    </w:rPr>
                    <w:t>硝酸、硝酸钠</w:t>
                  </w:r>
                </w:p>
              </w:tc>
              <w:tc>
                <w:tcPr>
                  <w:tcW w:w="497"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泄漏</w:t>
                  </w:r>
                </w:p>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火灾</w:t>
                  </w:r>
                </w:p>
              </w:tc>
              <w:tc>
                <w:tcPr>
                  <w:tcW w:w="2570"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1、泄漏液进入地表水环境影响水质和水生生态环境；</w:t>
                  </w:r>
                </w:p>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2、泄漏液遇明火、高温、静电等引发火灾。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48" w:type="pct"/>
                  <w:noWrap w:val="0"/>
                  <w:vAlign w:val="center"/>
                </w:tcPr>
                <w:p>
                  <w:pPr>
                    <w:adjustRightInd w:val="0"/>
                    <w:snapToGrid w:val="0"/>
                    <w:jc w:val="center"/>
                    <w:rPr>
                      <w:rFonts w:hint="default" w:ascii="Times New Roman" w:hAnsi="Times New Roman" w:eastAsia="宋体" w:cs="Times New Roman"/>
                      <w:bCs/>
                      <w:color w:val="auto"/>
                      <w:spacing w:val="-10"/>
                      <w:highlight w:val="none"/>
                      <w:lang w:val="en-US" w:eastAsia="zh-CN"/>
                    </w:rPr>
                  </w:pPr>
                  <w:r>
                    <w:rPr>
                      <w:rFonts w:hint="eastAsia" w:cs="Times New Roman"/>
                      <w:bCs/>
                      <w:color w:val="auto"/>
                      <w:spacing w:val="-10"/>
                      <w:highlight w:val="none"/>
                      <w:lang w:val="en-US" w:eastAsia="zh-CN"/>
                    </w:rPr>
                    <w:t>5</w:t>
                  </w:r>
                </w:p>
              </w:tc>
              <w:tc>
                <w:tcPr>
                  <w:tcW w:w="377" w:type="pct"/>
                  <w:vMerge w:val="restar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环保设施</w:t>
                  </w:r>
                </w:p>
              </w:tc>
              <w:tc>
                <w:tcPr>
                  <w:tcW w:w="739"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eastAsia" w:cs="Times New Roman"/>
                      <w:bCs/>
                      <w:color w:val="auto"/>
                      <w:spacing w:val="-10"/>
                      <w:highlight w:val="none"/>
                      <w:lang w:val="en-US" w:eastAsia="zh-CN"/>
                    </w:rPr>
                    <w:t>污水</w:t>
                  </w:r>
                  <w:r>
                    <w:rPr>
                      <w:rFonts w:hint="default" w:ascii="Times New Roman" w:hAnsi="Times New Roman" w:eastAsia="宋体" w:cs="Times New Roman"/>
                      <w:bCs/>
                      <w:color w:val="auto"/>
                      <w:spacing w:val="-10"/>
                      <w:highlight w:val="none"/>
                    </w:rPr>
                    <w:t>处理站</w:t>
                  </w:r>
                </w:p>
              </w:tc>
              <w:tc>
                <w:tcPr>
                  <w:tcW w:w="567" w:type="pct"/>
                  <w:noWrap w:val="0"/>
                  <w:vAlign w:val="center"/>
                </w:tcPr>
                <w:p>
                  <w:pPr>
                    <w:adjustRightInd w:val="0"/>
                    <w:snapToGrid w:val="0"/>
                    <w:jc w:val="center"/>
                    <w:rPr>
                      <w:rFonts w:hint="default" w:ascii="Times New Roman" w:hAnsi="Times New Roman" w:eastAsia="宋体" w:cs="Times New Roman"/>
                      <w:bCs/>
                      <w:color w:val="auto"/>
                      <w:spacing w:val="-10"/>
                      <w:highlight w:val="none"/>
                      <w:lang w:val="en-US" w:eastAsia="zh-CN"/>
                    </w:rPr>
                  </w:pPr>
                  <w:r>
                    <w:rPr>
                      <w:rFonts w:hint="default" w:ascii="Times New Roman" w:hAnsi="Times New Roman" w:eastAsia="宋体" w:cs="Times New Roman"/>
                      <w:bCs/>
                      <w:color w:val="auto"/>
                      <w:spacing w:val="-10"/>
                      <w:highlight w:val="none"/>
                    </w:rPr>
                    <w:t>废水</w:t>
                  </w:r>
                </w:p>
              </w:tc>
              <w:tc>
                <w:tcPr>
                  <w:tcW w:w="497"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泄漏</w:t>
                  </w:r>
                </w:p>
              </w:tc>
              <w:tc>
                <w:tcPr>
                  <w:tcW w:w="2570"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泄漏液进入地表水环境影响水质和水生生态环境；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48" w:type="pct"/>
                  <w:noWrap w:val="0"/>
                  <w:vAlign w:val="center"/>
                </w:tcPr>
                <w:p>
                  <w:pPr>
                    <w:adjustRightInd w:val="0"/>
                    <w:snapToGrid w:val="0"/>
                    <w:jc w:val="center"/>
                    <w:rPr>
                      <w:rFonts w:hint="default" w:ascii="Times New Roman" w:hAnsi="Times New Roman" w:eastAsia="宋体" w:cs="Times New Roman"/>
                      <w:bCs/>
                      <w:color w:val="auto"/>
                      <w:spacing w:val="-10"/>
                      <w:highlight w:val="none"/>
                      <w:lang w:val="en-US" w:eastAsia="zh-CN"/>
                    </w:rPr>
                  </w:pPr>
                  <w:r>
                    <w:rPr>
                      <w:rFonts w:hint="eastAsia" w:cs="Times New Roman"/>
                      <w:bCs/>
                      <w:color w:val="auto"/>
                      <w:spacing w:val="-10"/>
                      <w:highlight w:val="none"/>
                      <w:lang w:val="en-US" w:eastAsia="zh-CN"/>
                    </w:rPr>
                    <w:t>6</w:t>
                  </w:r>
                </w:p>
              </w:tc>
              <w:tc>
                <w:tcPr>
                  <w:tcW w:w="377" w:type="pct"/>
                  <w:vMerge w:val="continue"/>
                  <w:noWrap w:val="0"/>
                  <w:vAlign w:val="center"/>
                </w:tcPr>
                <w:p>
                  <w:pPr>
                    <w:adjustRightInd w:val="0"/>
                    <w:snapToGrid w:val="0"/>
                    <w:jc w:val="center"/>
                    <w:rPr>
                      <w:rFonts w:hint="default" w:ascii="Times New Roman" w:hAnsi="Times New Roman" w:eastAsia="宋体" w:cs="Times New Roman"/>
                      <w:bCs/>
                      <w:color w:val="auto"/>
                      <w:spacing w:val="-10"/>
                      <w:highlight w:val="none"/>
                    </w:rPr>
                  </w:pPr>
                </w:p>
              </w:tc>
              <w:tc>
                <w:tcPr>
                  <w:tcW w:w="739"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危废仓库</w:t>
                  </w:r>
                </w:p>
              </w:tc>
              <w:tc>
                <w:tcPr>
                  <w:tcW w:w="567"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eastAsia" w:ascii="Times New Roman" w:hAnsi="Times New Roman" w:cs="Times New Roman"/>
                      <w:bCs/>
                      <w:color w:val="auto"/>
                      <w:spacing w:val="-10"/>
                      <w:highlight w:val="none"/>
                      <w:lang w:val="en-US" w:eastAsia="zh-CN"/>
                    </w:rPr>
                    <w:t>浓缩废液、离心分离和超滤废液、废电解液</w:t>
                  </w:r>
                  <w:r>
                    <w:rPr>
                      <w:rFonts w:hint="default" w:ascii="Times New Roman" w:hAnsi="Times New Roman" w:cs="Times New Roman"/>
                      <w:bCs/>
                      <w:color w:val="auto"/>
                      <w:spacing w:val="-10"/>
                      <w:highlight w:val="none"/>
                      <w:lang w:val="en-US" w:eastAsia="zh-CN"/>
                    </w:rPr>
                    <w:t>等</w:t>
                  </w:r>
                </w:p>
              </w:tc>
              <w:tc>
                <w:tcPr>
                  <w:tcW w:w="497"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泄漏</w:t>
                  </w:r>
                </w:p>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火灾</w:t>
                  </w:r>
                </w:p>
              </w:tc>
              <w:tc>
                <w:tcPr>
                  <w:tcW w:w="2570" w:type="pct"/>
                  <w:noWrap w:val="0"/>
                  <w:vAlign w:val="center"/>
                </w:tcPr>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1、泄漏液进入地表水环境影响水质和水生生态环境；</w:t>
                  </w:r>
                </w:p>
                <w:p>
                  <w:pPr>
                    <w:adjustRightInd w:val="0"/>
                    <w:snapToGrid w:val="0"/>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pacing w:val="-10"/>
                      <w:highlight w:val="none"/>
                    </w:rPr>
                    <w:t>2、泄漏液遇明火、高温、静电等引发火灾。</w:t>
                  </w:r>
                </w:p>
              </w:tc>
            </w:tr>
          </w:tbl>
          <w:p>
            <w:pPr>
              <w:adjustRightInd w:val="0"/>
              <w:snapToGrid w:val="0"/>
              <w:spacing w:line="500" w:lineRule="exact"/>
              <w:ind w:left="405"/>
              <w:jc w:val="both"/>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7.4环境风险防范措施</w:t>
            </w:r>
          </w:p>
          <w:p>
            <w:pPr>
              <w:pStyle w:val="16"/>
              <w:adjustRightInd w:val="0"/>
              <w:spacing w:after="0" w:line="500" w:lineRule="exact"/>
              <w:ind w:left="0" w:leftChars="0" w:firstLine="518" w:firstLineChars="216"/>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应组建安全环保管理机构，配备管理人员，通过技能培训，承担该公司运行后的环保安全工作。安全环保机构组建后，将根据相关的环境管理要求，结合无锡市具体情况，制定各项安全生产管理制度、严格的生产操作规则和完善的事故应急计划及相应的应急处理手段和设施，同时加强安全教育，提高员工安全意识和安全防范能力。</w:t>
            </w:r>
          </w:p>
          <w:p>
            <w:pPr>
              <w:topLinePunct/>
              <w:adjustRightInd w:val="0"/>
              <w:snapToGrid w:val="0"/>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风险防范措施的目的是从事故源头开始管理，消除产生事故的诱因，从而降低事故概率。建设单位已按要求制定、落实和更新应急预案，本报告仅针对本项目涉及的风险单元区域强调风险防范措施：</w:t>
            </w:r>
          </w:p>
          <w:p>
            <w:pPr>
              <w:pStyle w:val="65"/>
              <w:numPr>
                <w:ilvl w:val="0"/>
                <w:numId w:val="0"/>
              </w:numPr>
              <w:adjustRightInd w:val="0"/>
              <w:snapToGrid w:val="0"/>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化学品仓库及生产车间地面和四周均采取防渗防腐措施；</w:t>
            </w:r>
          </w:p>
          <w:p>
            <w:pPr>
              <w:pStyle w:val="65"/>
              <w:numPr>
                <w:ilvl w:val="0"/>
                <w:numId w:val="0"/>
              </w:numPr>
              <w:adjustRightInd w:val="0"/>
              <w:snapToGrid w:val="0"/>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车间内供油中心和供油管路等做好防腐防渗防泄漏措施，供油管路尽量采取地上明管的形式，地下管路应做好监控检查管理；</w:t>
            </w:r>
          </w:p>
          <w:p>
            <w:pPr>
              <w:pStyle w:val="65"/>
              <w:numPr>
                <w:ilvl w:val="0"/>
                <w:numId w:val="0"/>
              </w:numPr>
              <w:adjustRightInd w:val="0"/>
              <w:snapToGrid w:val="0"/>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污水处理站防腐防渗和防泄漏设施确保完整有效，加强巡查和监控；</w:t>
            </w:r>
          </w:p>
          <w:p>
            <w:pPr>
              <w:pStyle w:val="65"/>
              <w:numPr>
                <w:ilvl w:val="0"/>
                <w:numId w:val="0"/>
              </w:numPr>
              <w:adjustRightInd w:val="0"/>
              <w:snapToGrid w:val="0"/>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危废暂存区域加强管理，定期检查和维护区域内视频监控、泄漏液收集系统管阀、应急设施设备的有效性等，及时转移减少危废库存量；</w:t>
            </w:r>
          </w:p>
          <w:p>
            <w:pPr>
              <w:pStyle w:val="65"/>
              <w:numPr>
                <w:ilvl w:val="0"/>
                <w:numId w:val="0"/>
              </w:numPr>
              <w:adjustRightInd w:val="0"/>
              <w:snapToGrid w:val="0"/>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涉及可燃化学物料使用和存放的区域等严禁烟火，厂区内一切动火作业均需经过严格的审批；</w:t>
            </w:r>
          </w:p>
          <w:p>
            <w:pPr>
              <w:pStyle w:val="65"/>
              <w:adjustRightInd w:val="0"/>
              <w:snapToGrid w:val="0"/>
              <w:spacing w:line="480" w:lineRule="exact"/>
              <w:ind w:firstLine="48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6、厂区雨水接管口设施启闭阀门，发生火灾时关闭雨水接管口阀门，避免消防废水等事故水流向外环境；</w:t>
            </w:r>
          </w:p>
          <w:p>
            <w:pPr>
              <w:adjustRightInd w:val="0"/>
              <w:snapToGrid w:val="0"/>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7、按要求更新应急预案，并开展应急培训和演练工作、配备必要的应急物资和设施。</w:t>
            </w:r>
          </w:p>
          <w:p>
            <w:pPr>
              <w:adjustRightInd w:val="0"/>
              <w:snapToGrid w:val="0"/>
              <w:spacing w:line="480" w:lineRule="exact"/>
              <w:jc w:val="both"/>
              <w:rPr>
                <w:rFonts w:hint="default" w:ascii="Times New Roman" w:hAnsi="Times New Roman" w:eastAsia="宋体" w:cs="Times New Roman"/>
                <w:b/>
                <w:bCs/>
                <w:color w:val="auto"/>
                <w:spacing w:val="-10"/>
                <w:szCs w:val="21"/>
                <w:highlight w:val="none"/>
              </w:rPr>
            </w:pPr>
            <w:r>
              <w:rPr>
                <w:rFonts w:hint="default" w:ascii="Times New Roman" w:hAnsi="Times New Roman" w:eastAsia="宋体" w:cs="Times New Roman"/>
                <w:b/>
                <w:bCs/>
                <w:color w:val="auto"/>
                <w:spacing w:val="-10"/>
                <w:sz w:val="24"/>
                <w:szCs w:val="21"/>
                <w:highlight w:val="none"/>
              </w:rPr>
              <w:t>8、电磁辐射</w:t>
            </w:r>
          </w:p>
          <w:p>
            <w:pPr>
              <w:pStyle w:val="18"/>
              <w:adjustRightInd w:val="0"/>
              <w:snapToGrid w:val="0"/>
              <w:spacing w:before="0" w:beforeAutospacing="0" w:after="0" w:afterAutospacing="0" w:line="480" w:lineRule="exact"/>
              <w:ind w:firstLine="405"/>
              <w:jc w:val="both"/>
              <w:outlineLvl w:val="0"/>
              <w:rPr>
                <w:rFonts w:hint="default" w:ascii="Times New Roman" w:hAnsi="Times New Roman" w:eastAsia="宋体" w:cs="Times New Roman"/>
                <w:color w:val="auto"/>
                <w:spacing w:val="-10"/>
                <w:szCs w:val="21"/>
                <w:highlight w:val="none"/>
              </w:rPr>
            </w:pPr>
            <w:bookmarkStart w:id="17" w:name="_Toc68247242"/>
            <w:r>
              <w:rPr>
                <w:rFonts w:hint="default" w:ascii="Times New Roman" w:hAnsi="Times New Roman" w:eastAsia="宋体" w:cs="Times New Roman"/>
                <w:color w:val="auto"/>
                <w:spacing w:val="-10"/>
                <w:szCs w:val="21"/>
                <w:highlight w:val="none"/>
              </w:rPr>
              <w:t>本项目不涉及。</w:t>
            </w:r>
            <w:bookmarkEnd w:id="17"/>
          </w:p>
          <w:p>
            <w:pPr>
              <w:pStyle w:val="18"/>
              <w:adjustRightInd w:val="0"/>
              <w:snapToGrid w:val="0"/>
              <w:spacing w:before="0" w:beforeAutospacing="0" w:after="0" w:afterAutospacing="0" w:line="480" w:lineRule="exact"/>
              <w:jc w:val="both"/>
              <w:outlineLvl w:val="0"/>
              <w:rPr>
                <w:rFonts w:hint="default" w:ascii="Times New Roman" w:hAnsi="Times New Roman" w:eastAsia="宋体" w:cs="Times New Roman"/>
                <w:b/>
                <w:color w:val="auto"/>
                <w:spacing w:val="-10"/>
                <w:szCs w:val="21"/>
                <w:highlight w:val="none"/>
              </w:rPr>
            </w:pPr>
            <w:r>
              <w:rPr>
                <w:rFonts w:hint="default" w:ascii="Times New Roman" w:hAnsi="Times New Roman" w:eastAsia="宋体" w:cs="Times New Roman"/>
                <w:b/>
                <w:color w:val="auto"/>
                <w:spacing w:val="-10"/>
                <w:szCs w:val="21"/>
                <w:highlight w:val="none"/>
              </w:rPr>
              <w:t>9、排污口规范化管理</w:t>
            </w:r>
          </w:p>
          <w:p>
            <w:pPr>
              <w:pStyle w:val="18"/>
              <w:adjustRightInd w:val="0"/>
              <w:snapToGrid w:val="0"/>
              <w:spacing w:before="0" w:beforeAutospacing="0" w:after="0" w:afterAutospacing="0" w:line="480" w:lineRule="exact"/>
              <w:ind w:firstLine="390"/>
              <w:jc w:val="both"/>
              <w:outlineLvl w:val="0"/>
              <w:rPr>
                <w:rFonts w:hint="default" w:ascii="Times New Roman" w:hAnsi="Times New Roman" w:eastAsia="宋体" w:cs="Times New Roman"/>
                <w:color w:val="auto"/>
                <w:spacing w:val="-10"/>
                <w:szCs w:val="21"/>
                <w:highlight w:val="none"/>
              </w:rPr>
            </w:pPr>
            <w:r>
              <w:rPr>
                <w:rFonts w:hint="default" w:ascii="Times New Roman" w:hAnsi="Times New Roman" w:eastAsia="宋体" w:cs="Times New Roman"/>
                <w:color w:val="auto"/>
                <w:spacing w:val="-10"/>
                <w:szCs w:val="21"/>
                <w:highlight w:val="none"/>
              </w:rPr>
              <w:t>根据《江苏省排污口设置及规范化整治管理办法》（苏环控[1997]122号）和《省生态环境厅关于进一步加强危险废物污染防治工作的实施意见》（苏环办[2019]327号）文相关要求设置排污口并张贴排污口环保标识牌。</w:t>
            </w:r>
          </w:p>
          <w:p>
            <w:pPr>
              <w:pStyle w:val="18"/>
              <w:adjustRightInd w:val="0"/>
              <w:snapToGrid w:val="0"/>
              <w:spacing w:before="0" w:beforeAutospacing="0" w:after="0" w:afterAutospacing="0" w:line="480" w:lineRule="exact"/>
              <w:ind w:firstLine="390"/>
              <w:jc w:val="both"/>
              <w:outlineLvl w:val="0"/>
              <w:rPr>
                <w:rFonts w:hint="default" w:ascii="Times New Roman" w:hAnsi="Times New Roman" w:eastAsia="宋体" w:cs="Times New Roman"/>
                <w:color w:val="auto"/>
                <w:spacing w:val="-10"/>
                <w:szCs w:val="21"/>
                <w:highlight w:val="none"/>
                <w:lang w:val="en-US" w:eastAsia="zh-CN"/>
              </w:rPr>
            </w:pPr>
            <w:r>
              <w:rPr>
                <w:rFonts w:hint="default" w:ascii="Times New Roman" w:hAnsi="Times New Roman" w:eastAsia="宋体" w:cs="Times New Roman"/>
                <w:color w:val="auto"/>
                <w:spacing w:val="-10"/>
                <w:szCs w:val="21"/>
                <w:highlight w:val="none"/>
              </w:rPr>
              <w:t>（1）废气：本项目</w:t>
            </w:r>
            <w:r>
              <w:rPr>
                <w:rFonts w:hint="default" w:ascii="Times New Roman" w:hAnsi="Times New Roman" w:eastAsia="宋体" w:cs="Times New Roman"/>
                <w:color w:val="auto"/>
                <w:spacing w:val="-10"/>
                <w:szCs w:val="21"/>
                <w:highlight w:val="none"/>
                <w:lang w:val="en-US" w:eastAsia="zh-CN"/>
              </w:rPr>
              <w:t>不新增排气筒；</w:t>
            </w:r>
          </w:p>
          <w:p>
            <w:pPr>
              <w:pStyle w:val="18"/>
              <w:adjustRightInd w:val="0"/>
              <w:snapToGrid w:val="0"/>
              <w:spacing w:before="0" w:beforeAutospacing="0" w:after="0" w:afterAutospacing="0" w:line="480" w:lineRule="exact"/>
              <w:ind w:firstLine="390"/>
              <w:jc w:val="both"/>
              <w:outlineLvl w:val="0"/>
              <w:rPr>
                <w:rFonts w:hint="default" w:ascii="Times New Roman" w:hAnsi="Times New Roman" w:eastAsia="宋体" w:cs="Times New Roman"/>
                <w:color w:val="auto"/>
                <w:spacing w:val="-10"/>
                <w:szCs w:val="21"/>
                <w:highlight w:val="none"/>
                <w:lang w:eastAsia="zh-CN"/>
              </w:rPr>
            </w:pPr>
            <w:r>
              <w:rPr>
                <w:rFonts w:hint="default" w:ascii="Times New Roman" w:hAnsi="Times New Roman" w:eastAsia="宋体" w:cs="Times New Roman"/>
                <w:color w:val="auto"/>
                <w:spacing w:val="-10"/>
                <w:szCs w:val="21"/>
                <w:highlight w:val="none"/>
              </w:rPr>
              <w:t>（2）废水：本项目不新增废水排放口，依托</w:t>
            </w:r>
            <w:r>
              <w:rPr>
                <w:rFonts w:hint="default" w:ascii="Times New Roman" w:hAnsi="Times New Roman" w:eastAsia="宋体" w:cs="Times New Roman"/>
                <w:color w:val="auto"/>
                <w:spacing w:val="-10"/>
                <w:szCs w:val="21"/>
                <w:highlight w:val="none"/>
                <w:lang w:val="en-US" w:eastAsia="zh-CN"/>
              </w:rPr>
              <w:t>新华路</w:t>
            </w:r>
            <w:r>
              <w:rPr>
                <w:rFonts w:hint="default" w:ascii="Times New Roman" w:hAnsi="Times New Roman" w:eastAsia="宋体" w:cs="Times New Roman"/>
                <w:color w:val="auto"/>
                <w:spacing w:val="-10"/>
                <w:szCs w:val="21"/>
                <w:highlight w:val="none"/>
              </w:rPr>
              <w:t>厂区现有1个WS-001污水接管口</w:t>
            </w:r>
            <w:r>
              <w:rPr>
                <w:rFonts w:hint="default" w:ascii="Times New Roman" w:hAnsi="Times New Roman" w:eastAsia="宋体" w:cs="Times New Roman"/>
                <w:color w:val="auto"/>
                <w:spacing w:val="-10"/>
                <w:szCs w:val="21"/>
                <w:highlight w:val="none"/>
                <w:lang w:eastAsia="zh-CN"/>
              </w:rPr>
              <w:t>；</w:t>
            </w:r>
          </w:p>
          <w:p>
            <w:pPr>
              <w:pStyle w:val="18"/>
              <w:adjustRightInd w:val="0"/>
              <w:snapToGrid w:val="0"/>
              <w:spacing w:before="0" w:beforeAutospacing="0" w:after="0" w:afterAutospacing="0" w:line="480" w:lineRule="exact"/>
              <w:ind w:firstLine="390"/>
              <w:jc w:val="both"/>
              <w:outlineLvl w:val="0"/>
              <w:rPr>
                <w:rFonts w:hint="default" w:ascii="Times New Roman" w:hAnsi="Times New Roman" w:eastAsia="宋体" w:cs="Times New Roman"/>
                <w:color w:val="auto"/>
                <w:spacing w:val="-10"/>
                <w:szCs w:val="21"/>
                <w:highlight w:val="none"/>
              </w:rPr>
            </w:pPr>
            <w:r>
              <w:rPr>
                <w:rFonts w:hint="default" w:ascii="Times New Roman" w:hAnsi="Times New Roman" w:eastAsia="宋体" w:cs="Times New Roman"/>
                <w:color w:val="auto"/>
                <w:spacing w:val="-10"/>
                <w:szCs w:val="21"/>
                <w:highlight w:val="none"/>
              </w:rPr>
              <w:t>（3）固废：</w:t>
            </w:r>
            <w:r>
              <w:rPr>
                <w:rFonts w:hint="default" w:ascii="Times New Roman" w:hAnsi="Times New Roman" w:eastAsia="宋体" w:cs="Times New Roman"/>
                <w:color w:val="auto"/>
                <w:spacing w:val="-10"/>
                <w:szCs w:val="21"/>
                <w:highlight w:val="none"/>
                <w:lang w:val="en-US" w:eastAsia="zh-CN"/>
              </w:rPr>
              <w:t>本项目依托现有1个一般固废暂存区和</w:t>
            </w:r>
            <w:r>
              <w:rPr>
                <w:rFonts w:hint="eastAsia" w:ascii="Times New Roman" w:hAnsi="Times New Roman" w:cs="Times New Roman"/>
                <w:color w:val="auto"/>
                <w:spacing w:val="-10"/>
                <w:szCs w:val="21"/>
                <w:highlight w:val="none"/>
                <w:lang w:val="en-US" w:eastAsia="zh-CN"/>
              </w:rPr>
              <w:t>1</w:t>
            </w:r>
            <w:r>
              <w:rPr>
                <w:rFonts w:hint="default" w:ascii="Times New Roman" w:hAnsi="Times New Roman" w:eastAsia="宋体" w:cs="Times New Roman"/>
                <w:color w:val="auto"/>
                <w:spacing w:val="-10"/>
                <w:szCs w:val="21"/>
                <w:highlight w:val="none"/>
                <w:lang w:val="en-US" w:eastAsia="zh-CN"/>
              </w:rPr>
              <w:t>个危废暂存仓库，应更新本项目相关信息；</w:t>
            </w:r>
          </w:p>
          <w:p>
            <w:pPr>
              <w:pStyle w:val="18"/>
              <w:adjustRightInd w:val="0"/>
              <w:snapToGrid w:val="0"/>
              <w:spacing w:before="0" w:beforeAutospacing="0" w:after="0" w:afterAutospacing="0" w:line="480" w:lineRule="exact"/>
              <w:ind w:firstLine="390"/>
              <w:jc w:val="both"/>
              <w:outlineLvl w:val="0"/>
              <w:rPr>
                <w:rFonts w:hint="default" w:ascii="Times New Roman" w:hAnsi="Times New Roman" w:eastAsia="宋体" w:cs="Times New Roman"/>
                <w:snapToGrid w:val="0"/>
                <w:color w:val="auto"/>
                <w:szCs w:val="30"/>
                <w:highlight w:val="none"/>
              </w:rPr>
            </w:pPr>
            <w:r>
              <w:rPr>
                <w:rFonts w:hint="default" w:ascii="Times New Roman" w:hAnsi="Times New Roman" w:eastAsia="宋体" w:cs="Times New Roman"/>
                <w:color w:val="auto"/>
                <w:spacing w:val="-10"/>
                <w:szCs w:val="21"/>
                <w:highlight w:val="none"/>
              </w:rPr>
              <w:t>（4）噪声：本项目</w:t>
            </w:r>
            <w:r>
              <w:rPr>
                <w:rFonts w:hint="default" w:ascii="Times New Roman" w:hAnsi="Times New Roman" w:eastAsia="宋体" w:cs="Times New Roman"/>
                <w:color w:val="auto"/>
                <w:spacing w:val="-10"/>
                <w:szCs w:val="21"/>
                <w:highlight w:val="none"/>
                <w:lang w:val="en-US" w:eastAsia="zh-CN"/>
              </w:rPr>
              <w:t>本项目不涉及高噪声设备。</w:t>
            </w:r>
          </w:p>
        </w:tc>
      </w:tr>
    </w:tbl>
    <w:p>
      <w:pPr>
        <w:pStyle w:val="18"/>
        <w:adjustRightInd w:val="0"/>
        <w:snapToGrid w:val="0"/>
        <w:spacing w:before="0" w:beforeAutospacing="0" w:after="0" w:afterAutospacing="0" w:line="500" w:lineRule="exact"/>
        <w:outlineLvl w:val="0"/>
        <w:rPr>
          <w:rFonts w:hint="default" w:ascii="Times New Roman" w:hAnsi="Times New Roman" w:eastAsia="宋体" w:cs="Times New Roman"/>
          <w:snapToGrid w:val="0"/>
          <w:color w:val="auto"/>
          <w:sz w:val="30"/>
          <w:szCs w:val="30"/>
          <w:highlight w:val="none"/>
        </w:rPr>
        <w:sectPr>
          <w:pgSz w:w="11907" w:h="16840"/>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adjustRightInd w:val="0"/>
        <w:snapToGrid w:val="0"/>
        <w:spacing w:before="0" w:beforeAutospacing="0" w:after="0" w:afterAutospacing="0" w:line="500" w:lineRule="exact"/>
        <w:ind w:firstLine="450" w:firstLineChars="150"/>
        <w:outlineLvl w:val="0"/>
        <w:rPr>
          <w:rFonts w:hint="default" w:ascii="Times New Roman" w:hAnsi="Times New Roman" w:eastAsia="宋体" w:cs="Times New Roman"/>
          <w:snapToGrid w:val="0"/>
          <w:color w:val="auto"/>
          <w:sz w:val="30"/>
          <w:szCs w:val="30"/>
          <w:highlight w:val="none"/>
        </w:rPr>
      </w:pPr>
      <w:bookmarkStart w:id="18" w:name="_Toc68247243"/>
      <w:r>
        <w:rPr>
          <w:rFonts w:hint="default" w:ascii="Times New Roman" w:hAnsi="Times New Roman" w:eastAsia="宋体" w:cs="Times New Roman"/>
          <w:snapToGrid w:val="0"/>
          <w:color w:val="auto"/>
          <w:sz w:val="30"/>
          <w:szCs w:val="30"/>
          <w:highlight w:val="none"/>
        </w:rPr>
        <w:t>五、</w:t>
      </w:r>
      <w:bookmarkStart w:id="19" w:name="_Hlk54167917"/>
      <w:r>
        <w:rPr>
          <w:rFonts w:hint="default" w:ascii="Times New Roman" w:hAnsi="Times New Roman" w:eastAsia="宋体" w:cs="Times New Roman"/>
          <w:snapToGrid w:val="0"/>
          <w:color w:val="auto"/>
          <w:sz w:val="30"/>
          <w:szCs w:val="30"/>
          <w:highlight w:val="none"/>
        </w:rPr>
        <w:t>环境保护措施监督检查清单</w:t>
      </w:r>
      <w:bookmarkEnd w:id="18"/>
      <w:bookmarkEnd w:id="19"/>
    </w:p>
    <w:tbl>
      <w:tblPr>
        <w:tblStyle w:val="21"/>
        <w:tblW w:w="507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47"/>
        <w:gridCol w:w="995"/>
        <w:gridCol w:w="1715"/>
        <w:gridCol w:w="2842"/>
        <w:gridCol w:w="26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67" w:type="pct"/>
            <w:tcBorders>
              <w:tl2br w:val="single" w:color="auto" w:sz="4" w:space="0"/>
            </w:tcBorders>
            <w:noWrap w:val="0"/>
            <w:vAlign w:val="top"/>
          </w:tcPr>
          <w:p>
            <w:pPr>
              <w:adjustRightInd w:val="0"/>
              <w:snapToGrid w:val="0"/>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内容</w:t>
            </w:r>
          </w:p>
          <w:p>
            <w:pPr>
              <w:adjustRightInd w:val="0"/>
              <w:snapToGrid w:val="0"/>
              <w:ind w:firstLine="420" w:firstLineChars="200"/>
              <w:rPr>
                <w:rFonts w:hint="default" w:ascii="Times New Roman" w:hAnsi="Times New Roman" w:eastAsia="宋体" w:cs="Times New Roman"/>
                <w:color w:val="auto"/>
                <w:szCs w:val="21"/>
                <w:highlight w:val="none"/>
              </w:rPr>
            </w:pPr>
          </w:p>
          <w:p>
            <w:pP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要素</w:t>
            </w:r>
          </w:p>
        </w:tc>
        <w:tc>
          <w:tcPr>
            <w:tcW w:w="53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排放口(编号、名称)/污染源</w:t>
            </w:r>
          </w:p>
        </w:tc>
        <w:tc>
          <w:tcPr>
            <w:tcW w:w="92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污染物项目</w:t>
            </w:r>
          </w:p>
        </w:tc>
        <w:tc>
          <w:tcPr>
            <w:tcW w:w="153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环境保护措施</w:t>
            </w:r>
          </w:p>
        </w:tc>
        <w:tc>
          <w:tcPr>
            <w:tcW w:w="1423"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67"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w:t>
            </w:r>
          </w:p>
        </w:tc>
        <w:tc>
          <w:tcPr>
            <w:tcW w:w="539" w:type="pc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929" w:type="pc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539" w:type="pc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423" w:type="pc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67"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地表水环境</w:t>
            </w:r>
          </w:p>
        </w:tc>
        <w:tc>
          <w:tcPr>
            <w:tcW w:w="539"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污水接管口</w:t>
            </w:r>
          </w:p>
        </w:tc>
        <w:tc>
          <w:tcPr>
            <w:tcW w:w="92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制软水废水（COD、SS）</w:t>
            </w:r>
          </w:p>
        </w:tc>
        <w:tc>
          <w:tcPr>
            <w:tcW w:w="153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接管市政污水管网，送</w:t>
            </w:r>
            <w:r>
              <w:rPr>
                <w:rFonts w:hint="default" w:ascii="Times New Roman" w:hAnsi="Times New Roman" w:eastAsia="宋体" w:cs="Times New Roman"/>
                <w:color w:val="auto"/>
                <w:szCs w:val="21"/>
                <w:highlight w:val="none"/>
                <w:lang w:val="en-US" w:eastAsia="zh-CN"/>
              </w:rPr>
              <w:t>新城</w:t>
            </w:r>
            <w:r>
              <w:rPr>
                <w:rFonts w:hint="default" w:ascii="Times New Roman" w:hAnsi="Times New Roman" w:eastAsia="宋体" w:cs="Times New Roman"/>
                <w:color w:val="auto"/>
                <w:szCs w:val="21"/>
                <w:highlight w:val="none"/>
              </w:rPr>
              <w:t>水处理厂集中处理</w:t>
            </w:r>
          </w:p>
        </w:tc>
        <w:tc>
          <w:tcPr>
            <w:tcW w:w="1423"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接管口满足《污水综合排放标准》（GB8978-1996）表4三级标准和《污水排入城镇下水道水质标准》（GB/T31962-2015）表1A等级标准限值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6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39"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2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生活污水（pH、COD、SS、氨氮、总磷、总氮</w:t>
            </w:r>
            <w:r>
              <w:rPr>
                <w:rFonts w:hint="eastAsia" w:cs="Times New Roman"/>
                <w:color w:val="auto"/>
                <w:szCs w:val="21"/>
                <w:highlight w:val="none"/>
                <w:lang w:eastAsia="zh-CN"/>
              </w:rPr>
              <w:t>、</w:t>
            </w:r>
            <w:r>
              <w:rPr>
                <w:rFonts w:hint="eastAsia" w:cs="Times New Roman"/>
                <w:color w:val="auto"/>
                <w:szCs w:val="21"/>
                <w:highlight w:val="none"/>
                <w:lang w:val="en-US" w:eastAsia="zh-CN"/>
              </w:rPr>
              <w:t>动植物油</w:t>
            </w:r>
            <w:r>
              <w:rPr>
                <w:rFonts w:hint="default" w:ascii="Times New Roman" w:hAnsi="Times New Roman" w:eastAsia="宋体" w:cs="Times New Roman"/>
                <w:color w:val="auto"/>
                <w:szCs w:val="21"/>
                <w:highlight w:val="none"/>
              </w:rPr>
              <w:t>）</w:t>
            </w:r>
          </w:p>
        </w:tc>
        <w:tc>
          <w:tcPr>
            <w:tcW w:w="153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经化粪池/隔油池预处理后，接管市政污水管网，送新城水处理厂集中处理</w:t>
            </w:r>
          </w:p>
        </w:tc>
        <w:tc>
          <w:tcPr>
            <w:tcW w:w="1423" w:type="pct"/>
            <w:vMerge w:val="continue"/>
            <w:noWrap w:val="0"/>
            <w:vAlign w:val="center"/>
          </w:tcPr>
          <w:p>
            <w:pPr>
              <w:adjustRightInd w:val="0"/>
              <w:snapToGrid w:val="0"/>
              <w:jc w:val="center"/>
              <w:rPr>
                <w:rFonts w:hint="default" w:ascii="Times New Roman" w:hAnsi="Times New Roman" w:eastAsia="宋体" w:cs="Times New Roman"/>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6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39"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2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含氮磷</w:t>
            </w:r>
            <w:r>
              <w:rPr>
                <w:rFonts w:hint="eastAsia" w:cs="Times New Roman"/>
                <w:color w:val="auto"/>
                <w:szCs w:val="21"/>
                <w:highlight w:val="none"/>
                <w:lang w:val="en-US" w:eastAsia="zh-CN"/>
              </w:rPr>
              <w:t>工艺</w:t>
            </w:r>
            <w:r>
              <w:rPr>
                <w:rFonts w:hint="default" w:ascii="Times New Roman" w:hAnsi="Times New Roman" w:eastAsia="宋体" w:cs="Times New Roman"/>
                <w:color w:val="auto"/>
                <w:szCs w:val="21"/>
                <w:highlight w:val="none"/>
              </w:rPr>
              <w:t>废水废水（COD、SS、氨氮、总磷、总氮、石油类）</w:t>
            </w:r>
          </w:p>
        </w:tc>
        <w:tc>
          <w:tcPr>
            <w:tcW w:w="153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经污水处理站处理后回用，产生</w:t>
            </w:r>
            <w:r>
              <w:rPr>
                <w:rFonts w:hint="eastAsia" w:cs="Times New Roman"/>
                <w:color w:val="auto"/>
                <w:szCs w:val="21"/>
                <w:highlight w:val="none"/>
                <w:lang w:val="en-US" w:eastAsia="zh-CN"/>
              </w:rPr>
              <w:t>污水站废液</w:t>
            </w:r>
            <w:r>
              <w:rPr>
                <w:rFonts w:hint="default" w:ascii="Times New Roman" w:hAnsi="Times New Roman" w:eastAsia="宋体" w:cs="Times New Roman"/>
                <w:color w:val="auto"/>
                <w:szCs w:val="21"/>
                <w:highlight w:val="none"/>
              </w:rPr>
              <w:t>委托有资质单位处理处置。</w:t>
            </w:r>
          </w:p>
        </w:tc>
        <w:tc>
          <w:tcPr>
            <w:tcW w:w="1423"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highlight w:val="none"/>
              </w:rPr>
              <w:t>回用水质满足《城市污水再生利用 工业用水水质》（GB/T19923-2005）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6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39"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2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制纯废水（COD、SS）、冷却塔排水</w:t>
            </w:r>
          </w:p>
        </w:tc>
        <w:tc>
          <w:tcPr>
            <w:tcW w:w="153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经中水回用系统处理后回用，产生的UF超滤废水回用，RO膜系统废水送至污水处理站回用，零排放</w:t>
            </w:r>
          </w:p>
        </w:tc>
        <w:tc>
          <w:tcPr>
            <w:tcW w:w="1423" w:type="pct"/>
            <w:vMerge w:val="continue"/>
            <w:noWrap w:val="0"/>
            <w:vAlign w:val="center"/>
          </w:tcPr>
          <w:p>
            <w:pPr>
              <w:adjustRightInd w:val="0"/>
              <w:snapToGrid w:val="0"/>
              <w:jc w:val="center"/>
              <w:rPr>
                <w:rFonts w:hint="default" w:ascii="Times New Roman" w:hAnsi="Times New Roman" w:eastAsia="宋体" w:cs="Times New Roman"/>
                <w:color w:val="auto"/>
                <w:kern w:val="0"/>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6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539"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92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生活污水（COD、SS、氨氮、总磷、总氮）</w:t>
            </w:r>
          </w:p>
        </w:tc>
        <w:tc>
          <w:tcPr>
            <w:tcW w:w="153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经淋浴废水处理设施处理后回用，产生的超滤浓水接管市政污水管网，送新城水处理厂集中处理</w:t>
            </w:r>
          </w:p>
        </w:tc>
        <w:tc>
          <w:tcPr>
            <w:tcW w:w="1423" w:type="pct"/>
            <w:noWrap w:val="0"/>
            <w:vAlign w:val="center"/>
          </w:tcPr>
          <w:p>
            <w:pPr>
              <w:adjustRightInd w:val="0"/>
              <w:snapToGrid w:val="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highlight w:val="none"/>
              </w:rPr>
              <w:t xml:space="preserve">回用水质满足《城市污水再生利用 </w:t>
            </w:r>
            <w:r>
              <w:rPr>
                <w:rFonts w:hint="eastAsia" w:cs="Times New Roman"/>
                <w:color w:val="auto"/>
                <w:kern w:val="0"/>
                <w:highlight w:val="none"/>
                <w:lang w:val="en-US" w:eastAsia="zh-CN"/>
              </w:rPr>
              <w:t>城市杂用水水质</w:t>
            </w:r>
            <w:r>
              <w:rPr>
                <w:rFonts w:hint="default" w:ascii="Times New Roman" w:hAnsi="Times New Roman" w:eastAsia="宋体" w:cs="Times New Roman"/>
                <w:color w:val="auto"/>
                <w:kern w:val="0"/>
                <w:highlight w:val="none"/>
              </w:rPr>
              <w:t>》（GB/T</w:t>
            </w:r>
            <w:r>
              <w:rPr>
                <w:rFonts w:hint="eastAsia" w:cs="Times New Roman"/>
                <w:color w:val="auto"/>
                <w:kern w:val="0"/>
                <w:highlight w:val="none"/>
                <w:lang w:val="en-US" w:eastAsia="zh-CN"/>
              </w:rPr>
              <w:t>18920-2020</w:t>
            </w:r>
            <w:r>
              <w:rPr>
                <w:rFonts w:hint="default" w:ascii="Times New Roman" w:hAnsi="Times New Roman" w:eastAsia="宋体" w:cs="Times New Roman"/>
                <w:color w:val="auto"/>
                <w:kern w:val="0"/>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67"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声环境</w:t>
            </w:r>
          </w:p>
        </w:tc>
        <w:tc>
          <w:tcPr>
            <w:tcW w:w="53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设备工作噪声</w:t>
            </w:r>
          </w:p>
        </w:tc>
        <w:tc>
          <w:tcPr>
            <w:tcW w:w="92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生产设备均布局在车间内，高噪声设备配套隔声消声措施</w:t>
            </w:r>
          </w:p>
        </w:tc>
        <w:tc>
          <w:tcPr>
            <w:tcW w:w="153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优化选型、合理布局</w:t>
            </w:r>
          </w:p>
        </w:tc>
        <w:tc>
          <w:tcPr>
            <w:tcW w:w="1423"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厂界达到《工业企业厂界环境噪声排放标准》(GB12348-2008)中3类标准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567"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电磁辐射</w:t>
            </w:r>
          </w:p>
        </w:tc>
        <w:tc>
          <w:tcPr>
            <w:tcW w:w="53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2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539"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423"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9" w:hRule="atLeast"/>
          <w:jc w:val="center"/>
        </w:trPr>
        <w:tc>
          <w:tcPr>
            <w:tcW w:w="567"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w:t>
            </w:r>
          </w:p>
        </w:tc>
        <w:tc>
          <w:tcPr>
            <w:tcW w:w="4432" w:type="pct"/>
            <w:gridSpan w:val="4"/>
            <w:noWrap w:val="0"/>
            <w:vAlign w:val="center"/>
          </w:tcPr>
          <w:p>
            <w:pPr>
              <w:numPr>
                <w:ilvl w:val="0"/>
                <w:numId w:val="16"/>
              </w:numPr>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分类收集、分区存放、分类处理处置或综合利用；</w:t>
            </w:r>
          </w:p>
          <w:p>
            <w:pPr>
              <w:numPr>
                <w:ilvl w:val="0"/>
                <w:numId w:val="16"/>
              </w:numPr>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全过程管理；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84" w:hRule="atLeast"/>
          <w:jc w:val="center"/>
        </w:trPr>
        <w:tc>
          <w:tcPr>
            <w:tcW w:w="567"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土壤及地下水污染防治措施</w:t>
            </w:r>
          </w:p>
        </w:tc>
        <w:tc>
          <w:tcPr>
            <w:tcW w:w="4432" w:type="pct"/>
            <w:gridSpan w:val="4"/>
            <w:noWrap w:val="0"/>
            <w:vAlign w:val="center"/>
          </w:tcPr>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1、化学品仓库、危废仓库、污水处理站等区域地面和四周均采取防渗防腐措施；</w:t>
            </w:r>
          </w:p>
          <w:p>
            <w:pPr>
              <w:ind w:left="2" w:leftChars="1"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2、供油中心等设施设备尽量明管布局，区域地面做好防腐防渗，设施和管路做好防泄漏措施；</w:t>
            </w:r>
          </w:p>
          <w:p>
            <w:pPr>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3、生产车间地面全部铺设环氧树脂层。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567" w:type="pc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生态保护措施</w:t>
            </w:r>
          </w:p>
        </w:tc>
        <w:tc>
          <w:tcPr>
            <w:tcW w:w="4432" w:type="pct"/>
            <w:gridSpan w:val="4"/>
            <w:noWrap w:val="0"/>
            <w:vAlign w:val="center"/>
          </w:tcPr>
          <w:p>
            <w:pPr>
              <w:adjustRightInd w:val="0"/>
              <w:snapToGrid w:val="0"/>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567" w:type="pct"/>
            <w:noWrap w:val="0"/>
            <w:vAlign w:val="center"/>
          </w:tcPr>
          <w:p>
            <w:pPr>
              <w:adjustRightInd w:val="0"/>
              <w:snapToGrid w:val="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环境风险</w:t>
            </w:r>
          </w:p>
          <w:p>
            <w:pPr>
              <w:adjustRightInd w:val="0"/>
              <w:snapToGrid w:val="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防范措施</w:t>
            </w:r>
          </w:p>
        </w:tc>
        <w:tc>
          <w:tcPr>
            <w:tcW w:w="4432" w:type="pct"/>
            <w:gridSpan w:val="4"/>
            <w:noWrap w:val="0"/>
            <w:vAlign w:val="center"/>
          </w:tcPr>
          <w:p>
            <w:pPr>
              <w:keepNext w:val="0"/>
              <w:keepLines w:val="0"/>
              <w:pageBreakBefore w:val="0"/>
              <w:widowControl w:val="0"/>
              <w:numPr>
                <w:ilvl w:val="0"/>
                <w:numId w:val="0"/>
              </w:numPr>
              <w:kinsoku/>
              <w:wordWrap/>
              <w:overflowPunct/>
              <w:topLinePunct w:val="0"/>
              <w:autoSpaceDE/>
              <w:autoSpaceDN/>
              <w:bidi w:val="0"/>
              <w:ind w:left="0" w:leftChars="0" w:firstLine="420" w:firstLineChars="200"/>
              <w:jc w:val="left"/>
              <w:textAlignment w:val="auto"/>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1、</w:t>
            </w:r>
            <w:r>
              <w:rPr>
                <w:rFonts w:hint="default" w:ascii="Times New Roman" w:hAnsi="Times New Roman" w:eastAsia="宋体" w:cs="Times New Roman"/>
                <w:color w:val="auto"/>
                <w:szCs w:val="21"/>
                <w:highlight w:val="none"/>
              </w:rPr>
              <w:t>化学品仓库、危废仓库、污水站地面和四周均采取防渗防腐措施；</w:t>
            </w:r>
          </w:p>
          <w:p>
            <w:pPr>
              <w:keepNext w:val="0"/>
              <w:keepLines w:val="0"/>
              <w:pageBreakBefore w:val="0"/>
              <w:widowControl w:val="0"/>
              <w:kinsoku/>
              <w:wordWrap/>
              <w:overflowPunct/>
              <w:topLinePunct w:val="0"/>
              <w:autoSpaceDE/>
              <w:autoSpaceDN/>
              <w:bidi w:val="0"/>
              <w:ind w:left="0" w:leftChars="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2、供油中心等设施设备尽量明管布局，区域地面做好防腐防渗，设施和管路做好防泄漏措施</w:t>
            </w:r>
          </w:p>
          <w:p>
            <w:pPr>
              <w:keepNext w:val="0"/>
              <w:keepLines w:val="0"/>
              <w:pageBreakBefore w:val="0"/>
              <w:widowControl w:val="0"/>
              <w:kinsoku/>
              <w:wordWrap/>
              <w:overflowPunct/>
              <w:topLinePunct w:val="0"/>
              <w:autoSpaceDE/>
              <w:autoSpaceDN/>
              <w:bidi w:val="0"/>
              <w:ind w:left="0" w:leftChars="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3、厂区雨水接管口设施启闭阀门，发生火灾时关闭雨水接管口阀门，避免消防废水等事故水流向外环境；</w:t>
            </w:r>
          </w:p>
          <w:p>
            <w:pPr>
              <w:keepNext w:val="0"/>
              <w:keepLines w:val="0"/>
              <w:pageBreakBefore w:val="0"/>
              <w:widowControl w:val="0"/>
              <w:kinsoku/>
              <w:wordWrap/>
              <w:overflowPunct/>
              <w:topLinePunct w:val="0"/>
              <w:autoSpaceDE/>
              <w:autoSpaceDN/>
              <w:bidi w:val="0"/>
              <w:adjustRightInd w:val="0"/>
              <w:snapToGrid w:val="0"/>
              <w:ind w:left="0" w:leftChars="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4、建设单位按要求制定和更新应急预案，并按应急预案的要求开展应急培训和演练工作、配备必要的应急物资和设施。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5" w:hRule="atLeast"/>
          <w:jc w:val="center"/>
        </w:trPr>
        <w:tc>
          <w:tcPr>
            <w:tcW w:w="567" w:type="pct"/>
            <w:noWrap w:val="0"/>
            <w:vAlign w:val="center"/>
          </w:tcPr>
          <w:p>
            <w:pPr>
              <w:adjustRightInd w:val="0"/>
              <w:snapToGrid w:val="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其他环境</w:t>
            </w:r>
          </w:p>
          <w:p>
            <w:pPr>
              <w:adjustRightInd w:val="0"/>
              <w:snapToGrid w:val="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管理要求</w:t>
            </w:r>
          </w:p>
        </w:tc>
        <w:tc>
          <w:tcPr>
            <w:tcW w:w="4432" w:type="pct"/>
            <w:gridSpan w:val="4"/>
            <w:noWrap w:val="0"/>
            <w:vAlign w:val="center"/>
          </w:tcPr>
          <w:p>
            <w:pPr>
              <w:numPr>
                <w:ilvl w:val="0"/>
                <w:numId w:val="17"/>
              </w:numPr>
              <w:adjustRightInd w:val="0"/>
              <w:snapToGrid w:val="0"/>
              <w:ind w:left="2" w:firstLine="43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w:t>
            </w:r>
            <w:r>
              <w:rPr>
                <w:rFonts w:hint="eastAsia" w:ascii="Times New Roman" w:hAnsi="Times New Roman" w:eastAsia="宋体" w:cs="Times New Roman"/>
                <w:color w:val="auto"/>
                <w:szCs w:val="21"/>
                <w:highlight w:val="none"/>
                <w:lang w:val="en-US" w:eastAsia="zh-CN"/>
              </w:rPr>
              <w:t>卫生防护距离仍为</w:t>
            </w:r>
            <w:r>
              <w:rPr>
                <w:rFonts w:hint="eastAsia" w:ascii="Times New Roman" w:hAnsi="Times New Roman" w:eastAsia="宋体" w:cs="Times New Roman"/>
                <w:color w:val="auto"/>
                <w:szCs w:val="21"/>
                <w:highlight w:val="none"/>
              </w:rPr>
              <w:t>301车间外100米、储罐区周边50米、 302车间外100米、308车间外50米及清洗车间外50米范围</w:t>
            </w:r>
            <w:r>
              <w:rPr>
                <w:rFonts w:hint="default" w:ascii="Times New Roman" w:hAnsi="Times New Roman" w:eastAsia="宋体" w:cs="Times New Roman"/>
                <w:color w:val="auto"/>
                <w:szCs w:val="21"/>
                <w:highlight w:val="none"/>
              </w:rPr>
              <w:t>，该距离内不得新增环境敏感目标；</w:t>
            </w:r>
          </w:p>
          <w:p>
            <w:pPr>
              <w:numPr>
                <w:ilvl w:val="0"/>
                <w:numId w:val="17"/>
              </w:numPr>
              <w:adjustRightInd w:val="0"/>
              <w:snapToGrid w:val="0"/>
              <w:ind w:left="2" w:firstLine="43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加强管理，建立环保管理责任制度，落实责任人和职责，加强管理者和员工的环保意识培训和环保管理法规资料的学习。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2" w:hRule="atLeast"/>
          <w:jc w:val="center"/>
        </w:trPr>
        <w:tc>
          <w:tcPr>
            <w:tcW w:w="567" w:type="pct"/>
            <w:noWrap w:val="0"/>
            <w:vAlign w:val="center"/>
          </w:tcPr>
          <w:p>
            <w:pPr>
              <w:adjustRightInd w:val="0"/>
              <w:snapToGrid w:val="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“以新带老”措施</w:t>
            </w:r>
          </w:p>
        </w:tc>
        <w:tc>
          <w:tcPr>
            <w:tcW w:w="4432" w:type="pct"/>
            <w:gridSpan w:val="4"/>
            <w:noWrap w:val="0"/>
            <w:vAlign w:val="center"/>
          </w:tcPr>
          <w:p>
            <w:pPr>
              <w:adjustRightInd w:val="0"/>
              <w:snapToGrid w:val="0"/>
              <w:ind w:firstLine="420" w:firstLineChars="200"/>
              <w:rPr>
                <w:rFonts w:hint="default" w:cs="Times New Roman"/>
                <w:color w:val="auto"/>
                <w:szCs w:val="21"/>
                <w:highlight w:val="none"/>
                <w:lang w:val="en-US" w:eastAsia="zh-CN"/>
              </w:rPr>
            </w:pPr>
            <w:r>
              <w:rPr>
                <w:rFonts w:hint="eastAsia" w:cs="Times New Roman"/>
                <w:color w:val="auto"/>
                <w:szCs w:val="21"/>
                <w:highlight w:val="none"/>
                <w:lang w:val="en-US" w:eastAsia="zh-CN"/>
              </w:rPr>
              <w:t>1、新华路厂区FQ-01非甲烷总烃排放量的40%转移至新排气筒FQ-44；</w:t>
            </w:r>
          </w:p>
          <w:p>
            <w:pPr>
              <w:adjustRightInd w:val="0"/>
              <w:snapToGrid w:val="0"/>
              <w:ind w:firstLine="420" w:firstLineChars="200"/>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rPr>
              <w:t>新增一套淋浴废水处理设施，处理部分淋浴废水，处理后回用于生活冲厕，减少自来水用量；</w:t>
            </w:r>
          </w:p>
          <w:p>
            <w:pPr>
              <w:adjustRightInd w:val="0"/>
              <w:snapToGrid w:val="0"/>
              <w:ind w:firstLine="420" w:firstLineChars="200"/>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3</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中水冷却塔</w:t>
            </w:r>
            <w:r>
              <w:rPr>
                <w:rFonts w:hint="eastAsia" w:cs="Times New Roman"/>
                <w:color w:val="auto"/>
                <w:szCs w:val="21"/>
                <w:highlight w:val="none"/>
                <w:lang w:val="en-US" w:eastAsia="zh-CN"/>
              </w:rPr>
              <w:t>由原来</w:t>
            </w:r>
            <w:r>
              <w:rPr>
                <w:rFonts w:hint="default" w:ascii="Times New Roman" w:hAnsi="Times New Roman" w:eastAsia="宋体" w:cs="Times New Roman"/>
                <w:color w:val="auto"/>
                <w:szCs w:val="21"/>
                <w:highlight w:val="none"/>
              </w:rPr>
              <w:t>使用新鲜制备软水，供水由厂内中水回用系统和厂内污水处理站提供。中水冷却塔排水</w:t>
            </w:r>
            <w:r>
              <w:rPr>
                <w:rFonts w:hint="eastAsia" w:cs="Times New Roman"/>
                <w:color w:val="auto"/>
                <w:szCs w:val="21"/>
                <w:highlight w:val="none"/>
                <w:lang w:val="en-US" w:eastAsia="zh-CN"/>
              </w:rPr>
              <w:t>由原来</w:t>
            </w:r>
            <w:r>
              <w:rPr>
                <w:rFonts w:hint="default" w:ascii="Times New Roman" w:hAnsi="Times New Roman" w:eastAsia="宋体" w:cs="Times New Roman"/>
                <w:color w:val="auto"/>
                <w:szCs w:val="21"/>
                <w:highlight w:val="none"/>
              </w:rPr>
              <w:t>进入厂内污水处理站，改为进入厂内中水回用系统处理；</w:t>
            </w:r>
          </w:p>
          <w:p>
            <w:pPr>
              <w:adjustRightInd w:val="0"/>
              <w:snapToGrid w:val="0"/>
              <w:ind w:firstLine="420" w:firstLineChars="200"/>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4</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纯水制备系统经制纯率</w:t>
            </w:r>
            <w:r>
              <w:rPr>
                <w:rFonts w:hint="eastAsia" w:ascii="Times New Roman" w:hAnsi="Times New Roman" w:cs="Times New Roman"/>
                <w:color w:val="auto"/>
                <w:szCs w:val="21"/>
                <w:highlight w:val="none"/>
                <w:lang w:val="en-US" w:eastAsia="zh-CN"/>
              </w:rPr>
              <w:t>调整为6</w:t>
            </w:r>
            <w:r>
              <w:rPr>
                <w:rFonts w:hint="eastAsia"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w:t>
            </w:r>
          </w:p>
          <w:p>
            <w:pPr>
              <w:adjustRightInd w:val="0"/>
              <w:snapToGrid w:val="0"/>
              <w:ind w:firstLine="420" w:firstLineChars="200"/>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5</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动力系统冷却塔排水改为</w:t>
            </w:r>
            <w:r>
              <w:rPr>
                <w:rFonts w:hint="eastAsia" w:cs="Times New Roman"/>
                <w:color w:val="auto"/>
                <w:szCs w:val="21"/>
                <w:highlight w:val="none"/>
                <w:lang w:val="en-US" w:eastAsia="zh-CN"/>
              </w:rPr>
              <w:t>全部</w:t>
            </w:r>
            <w:r>
              <w:rPr>
                <w:rFonts w:hint="default" w:ascii="Times New Roman" w:hAnsi="Times New Roman" w:eastAsia="宋体" w:cs="Times New Roman"/>
                <w:color w:val="auto"/>
                <w:szCs w:val="21"/>
                <w:highlight w:val="none"/>
              </w:rPr>
              <w:t>接管新城水处理厂；</w:t>
            </w:r>
          </w:p>
          <w:p>
            <w:pPr>
              <w:adjustRightInd w:val="0"/>
              <w:snapToGrid w:val="0"/>
              <w:ind w:firstLine="420" w:firstLineChars="200"/>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6</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空调系统排水由原</w:t>
            </w:r>
            <w:r>
              <w:rPr>
                <w:rFonts w:hint="eastAsia" w:cs="Times New Roman"/>
                <w:color w:val="auto"/>
                <w:szCs w:val="21"/>
                <w:highlight w:val="none"/>
                <w:lang w:val="en-US" w:eastAsia="zh-CN"/>
              </w:rPr>
              <w:t>来</w:t>
            </w:r>
            <w:r>
              <w:rPr>
                <w:rFonts w:hint="default" w:ascii="Times New Roman" w:hAnsi="Times New Roman" w:eastAsia="宋体" w:cs="Times New Roman"/>
                <w:color w:val="auto"/>
                <w:szCs w:val="21"/>
                <w:highlight w:val="none"/>
              </w:rPr>
              <w:t>接管新城水处理厂，改为接入厂内污水处理站；</w:t>
            </w:r>
          </w:p>
          <w:p>
            <w:pPr>
              <w:adjustRightInd w:val="0"/>
              <w:snapToGrid w:val="0"/>
              <w:ind w:firstLine="420" w:firstLineChars="200"/>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7</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中水回用系统中UF超滤系统废水</w:t>
            </w:r>
            <w:r>
              <w:rPr>
                <w:rFonts w:hint="eastAsia" w:cs="Times New Roman"/>
                <w:color w:val="auto"/>
                <w:szCs w:val="21"/>
                <w:highlight w:val="none"/>
                <w:lang w:val="en-US" w:eastAsia="zh-CN"/>
              </w:rPr>
              <w:t>由原来</w:t>
            </w:r>
            <w:r>
              <w:rPr>
                <w:rFonts w:hint="default" w:ascii="Times New Roman" w:hAnsi="Times New Roman" w:eastAsia="宋体" w:cs="Times New Roman"/>
                <w:color w:val="auto"/>
                <w:szCs w:val="21"/>
                <w:highlight w:val="none"/>
              </w:rPr>
              <w:t>接管至新城水处理厂，改为进入中水回用系统处理；</w:t>
            </w:r>
          </w:p>
          <w:p>
            <w:pPr>
              <w:adjustRightInd w:val="0"/>
              <w:snapToGrid w:val="0"/>
              <w:ind w:firstLine="420" w:firstLineChars="200"/>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8</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中水回用系统中RO膜系统废水，</w:t>
            </w:r>
            <w:r>
              <w:rPr>
                <w:rFonts w:hint="eastAsia" w:cs="Times New Roman"/>
                <w:color w:val="auto"/>
                <w:szCs w:val="21"/>
                <w:highlight w:val="none"/>
                <w:lang w:val="en-US" w:eastAsia="zh-CN"/>
              </w:rPr>
              <w:t>由原来</w:t>
            </w:r>
            <w:r>
              <w:rPr>
                <w:rFonts w:hint="default" w:ascii="Times New Roman" w:hAnsi="Times New Roman" w:eastAsia="宋体" w:cs="Times New Roman"/>
                <w:color w:val="auto"/>
                <w:szCs w:val="21"/>
                <w:highlight w:val="none"/>
              </w:rPr>
              <w:t>接管至新城水处理厂，改为进入污水处理站。</w:t>
            </w:r>
          </w:p>
        </w:tc>
      </w:tr>
    </w:tbl>
    <w:p>
      <w:pPr>
        <w:pStyle w:val="18"/>
        <w:spacing w:before="0" w:beforeAutospacing="0" w:after="0" w:afterAutospacing="0"/>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20" w:name="_Toc68247244"/>
      <w:r>
        <w:rPr>
          <w:rFonts w:hint="default" w:ascii="Times New Roman" w:hAnsi="Times New Roman" w:eastAsia="宋体" w:cs="Times New Roman"/>
          <w:snapToGrid w:val="0"/>
          <w:color w:val="auto"/>
          <w:sz w:val="30"/>
          <w:szCs w:val="30"/>
          <w:highlight w:val="none"/>
        </w:rPr>
        <w:t>六、结论</w:t>
      </w:r>
      <w:bookmarkEnd w:id="20"/>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206" w:hRule="atLeast"/>
          <w:jc w:val="center"/>
        </w:trPr>
        <w:tc>
          <w:tcPr>
            <w:tcW w:w="8865" w:type="dxa"/>
            <w:noWrap w:val="0"/>
            <w:vAlign w:val="top"/>
          </w:tcPr>
          <w:p>
            <w:pPr>
              <w:widowControl/>
              <w:wordWrap w:val="0"/>
              <w:adjustRightInd w:val="0"/>
              <w:snapToGrid w:val="0"/>
              <w:spacing w:line="500" w:lineRule="exact"/>
              <w:ind w:firstLine="600" w:firstLineChars="250"/>
              <w:rPr>
                <w:rFonts w:hint="default"/>
                <w:sz w:val="24"/>
                <w:szCs w:val="24"/>
              </w:rPr>
            </w:pPr>
            <w:r>
              <w:rPr>
                <w:rFonts w:hint="default"/>
                <w:sz w:val="24"/>
                <w:szCs w:val="24"/>
              </w:rPr>
              <w:t>博世动力总成有限公司</w:t>
            </w:r>
            <w:r>
              <w:rPr>
                <w:rFonts w:hint="default"/>
                <w:sz w:val="24"/>
                <w:szCs w:val="24"/>
                <w:lang w:val="en-US" w:eastAsia="zh-CN"/>
              </w:rPr>
              <w:t>年加工78万件强化轨体项目，</w:t>
            </w:r>
            <w:r>
              <w:rPr>
                <w:rFonts w:hint="default"/>
                <w:sz w:val="24"/>
                <w:szCs w:val="24"/>
              </w:rPr>
              <w:t>博世动力总成有限公司计划投资</w:t>
            </w:r>
            <w:r>
              <w:rPr>
                <w:rFonts w:hint="eastAsia"/>
                <w:sz w:val="24"/>
                <w:szCs w:val="24"/>
                <w:lang w:val="en-US" w:eastAsia="zh-CN"/>
              </w:rPr>
              <w:t>3100</w:t>
            </w:r>
            <w:r>
              <w:rPr>
                <w:rFonts w:hint="default"/>
                <w:sz w:val="24"/>
                <w:szCs w:val="24"/>
              </w:rPr>
              <w:t>万元人民币</w:t>
            </w:r>
            <w:r>
              <w:rPr>
                <w:rFonts w:hint="eastAsia"/>
                <w:sz w:val="24"/>
                <w:szCs w:val="24"/>
                <w:lang w:eastAsia="zh-CN"/>
              </w:rPr>
              <w:t>。</w:t>
            </w:r>
            <w:r>
              <w:rPr>
                <w:rFonts w:hint="eastAsia"/>
                <w:sz w:val="24"/>
                <w:szCs w:val="24"/>
              </w:rPr>
              <w:t>进行共轨油轨产品的技术改造：引进电化学加工，自紧强化设备等进口设备10台套，对共轨油轨生产进行技术升级和改造。项目改造完成后可达到年产78万件强化轨体的能力。</w:t>
            </w:r>
            <w:r>
              <w:rPr>
                <w:rFonts w:hint="default"/>
                <w:sz w:val="24"/>
                <w:szCs w:val="24"/>
              </w:rPr>
              <w:t>该项目已于2020年10月取得新吴区行政审批局的立项备案意见，项目代码：2020-320214-36-03-668838。</w:t>
            </w:r>
          </w:p>
          <w:p>
            <w:pPr>
              <w:spacing w:line="500" w:lineRule="exact"/>
              <w:ind w:firstLine="480" w:firstLineChars="200"/>
              <w:rPr>
                <w:rFonts w:hint="default"/>
                <w:sz w:val="24"/>
                <w:szCs w:val="24"/>
              </w:rPr>
            </w:pPr>
            <w:r>
              <w:rPr>
                <w:rFonts w:hint="default"/>
                <w:sz w:val="24"/>
                <w:szCs w:val="24"/>
              </w:rPr>
              <w:t>该项目与产业政策、土地利用规划、园区产业定位等均相符；与环境质量底线、资源利用上线、生态保护红线和区域负面清单等均相符；位于太湖流域</w:t>
            </w:r>
            <w:r>
              <w:rPr>
                <w:rFonts w:hint="eastAsia"/>
                <w:sz w:val="24"/>
                <w:szCs w:val="24"/>
                <w:lang w:val="en-US" w:eastAsia="zh-Hans"/>
              </w:rPr>
              <w:t>三</w:t>
            </w:r>
            <w:r>
              <w:rPr>
                <w:rFonts w:hint="default"/>
                <w:sz w:val="24"/>
                <w:szCs w:val="24"/>
              </w:rPr>
              <w:t>级保护区内，与太湖流域相关防护条例内容相符。</w:t>
            </w:r>
          </w:p>
          <w:p>
            <w:pPr>
              <w:adjustRightInd w:val="0"/>
              <w:snapToGrid w:val="0"/>
              <w:spacing w:line="500" w:lineRule="exact"/>
              <w:ind w:firstLine="480" w:firstLineChars="200"/>
              <w:rPr>
                <w:rFonts w:hint="default"/>
                <w:sz w:val="24"/>
                <w:szCs w:val="24"/>
                <w:lang w:val="en-US" w:eastAsia="zh-CN"/>
              </w:rPr>
            </w:pPr>
            <w:r>
              <w:rPr>
                <w:rFonts w:hint="eastAsia"/>
                <w:sz w:val="24"/>
                <w:szCs w:val="24"/>
                <w:lang w:val="en-US" w:eastAsia="zh-CN"/>
              </w:rPr>
              <w:t>本项目无废气产生，因此</w:t>
            </w:r>
            <w:r>
              <w:rPr>
                <w:rFonts w:hint="default"/>
                <w:sz w:val="24"/>
                <w:szCs w:val="24"/>
              </w:rPr>
              <w:t>本项目</w:t>
            </w:r>
            <w:r>
              <w:rPr>
                <w:rFonts w:hint="eastAsia"/>
                <w:sz w:val="24"/>
                <w:szCs w:val="24"/>
                <w:lang w:val="en-US" w:eastAsia="zh-CN"/>
              </w:rPr>
              <w:t>建成后新华路厂区卫生防护距离值仍为</w:t>
            </w:r>
            <w:r>
              <w:rPr>
                <w:rFonts w:hint="eastAsia"/>
                <w:sz w:val="24"/>
                <w:szCs w:val="24"/>
              </w:rPr>
              <w:t>301车间外100米、储罐区周边50米、 302车间外100米、308车间外50米及清洗车间外50米范围</w:t>
            </w:r>
            <w:r>
              <w:rPr>
                <w:rFonts w:hint="default"/>
                <w:sz w:val="24"/>
                <w:szCs w:val="24"/>
                <w:lang w:val="en-US" w:eastAsia="zh-CN"/>
              </w:rPr>
              <w:t>。经现场踏勘，上述卫生防护距离内均无居民点、学校、医院等敏感环境保护目标。</w:t>
            </w:r>
          </w:p>
          <w:p>
            <w:pPr>
              <w:adjustRightInd w:val="0"/>
              <w:snapToGrid w:val="0"/>
              <w:spacing w:line="500" w:lineRule="exact"/>
              <w:ind w:firstLine="480" w:firstLineChars="200"/>
              <w:rPr>
                <w:rFonts w:hint="default"/>
                <w:sz w:val="24"/>
                <w:szCs w:val="24"/>
              </w:rPr>
            </w:pPr>
            <w:r>
              <w:rPr>
                <w:rFonts w:hint="default"/>
                <w:sz w:val="24"/>
                <w:szCs w:val="24"/>
              </w:rPr>
              <w:t>本项目</w:t>
            </w:r>
            <w:r>
              <w:rPr>
                <w:rFonts w:hint="eastAsia"/>
                <w:sz w:val="24"/>
                <w:szCs w:val="24"/>
                <w:lang w:val="en-US" w:eastAsia="zh-CN"/>
              </w:rPr>
              <w:t>工艺</w:t>
            </w:r>
            <w:r>
              <w:rPr>
                <w:rFonts w:hint="default"/>
                <w:sz w:val="24"/>
                <w:szCs w:val="24"/>
              </w:rPr>
              <w:t>废水经配套的污水处理站处理后回用，水质达到《城市污水再生利用 工业用水水质》（GB/T19923-2005）标准要求，产生</w:t>
            </w:r>
            <w:r>
              <w:rPr>
                <w:rFonts w:hint="eastAsia"/>
                <w:sz w:val="24"/>
                <w:szCs w:val="24"/>
                <w:lang w:val="en-US" w:eastAsia="zh-CN"/>
              </w:rPr>
              <w:t>的污水站废液</w:t>
            </w:r>
            <w:r>
              <w:rPr>
                <w:rFonts w:hint="default"/>
                <w:sz w:val="24"/>
                <w:szCs w:val="24"/>
              </w:rPr>
              <w:t>委托有资质单位处理处置。</w:t>
            </w:r>
            <w:r>
              <w:rPr>
                <w:rFonts w:hint="eastAsia"/>
                <w:sz w:val="24"/>
                <w:szCs w:val="24"/>
                <w:lang w:val="en-US" w:eastAsia="zh-CN"/>
              </w:rPr>
              <w:t>制软水废水</w:t>
            </w:r>
            <w:r>
              <w:rPr>
                <w:rFonts w:hint="default"/>
                <w:sz w:val="24"/>
                <w:szCs w:val="24"/>
              </w:rPr>
              <w:t>、经预处理的生活污水接管</w:t>
            </w:r>
            <w:r>
              <w:rPr>
                <w:rFonts w:hint="default"/>
                <w:sz w:val="24"/>
                <w:szCs w:val="24"/>
                <w:lang w:val="en-US" w:eastAsia="zh-CN"/>
              </w:rPr>
              <w:t>新城</w:t>
            </w:r>
            <w:r>
              <w:rPr>
                <w:rFonts w:hint="default"/>
                <w:sz w:val="24"/>
                <w:szCs w:val="24"/>
              </w:rPr>
              <w:t>水处理厂集中处理，接管口达到《污水综合排放标准》（GB8978-1996）表4中三级标准及《污水排入城镇下水道水质标准》（GB/T31962-2015）表1中A等级标准。</w:t>
            </w:r>
          </w:p>
          <w:p>
            <w:pPr>
              <w:adjustRightInd w:val="0"/>
              <w:snapToGrid w:val="0"/>
              <w:spacing w:line="500" w:lineRule="exact"/>
              <w:ind w:firstLine="480" w:firstLineChars="200"/>
              <w:rPr>
                <w:rFonts w:hint="default"/>
                <w:sz w:val="24"/>
                <w:szCs w:val="24"/>
              </w:rPr>
            </w:pPr>
            <w:r>
              <w:rPr>
                <w:rFonts w:hint="default"/>
                <w:sz w:val="24"/>
                <w:szCs w:val="24"/>
              </w:rPr>
              <w:t>本项目设备噪声经隔声消声、厂房隔声、距离衰减等措施后，厂界影响值满足《工业企业厂界环境噪声排放标准》(GB12348-2008)中3类标准。</w:t>
            </w:r>
          </w:p>
          <w:p>
            <w:pPr>
              <w:adjustRightInd w:val="0"/>
              <w:snapToGrid w:val="0"/>
              <w:spacing w:line="500" w:lineRule="exact"/>
              <w:ind w:firstLine="480" w:firstLineChars="200"/>
              <w:rPr>
                <w:rFonts w:hint="default"/>
                <w:sz w:val="24"/>
                <w:szCs w:val="24"/>
              </w:rPr>
            </w:pPr>
            <w:r>
              <w:rPr>
                <w:rFonts w:hint="default"/>
                <w:sz w:val="24"/>
                <w:szCs w:val="24"/>
              </w:rPr>
              <w:t>本项目产生的一般工业固废由废品回收单位回收，生活垃圾由环卫部门统一清运，危险废物委托有资质单位处理处置，固废实现“零”排放。</w:t>
            </w:r>
          </w:p>
          <w:p>
            <w:pPr>
              <w:pStyle w:val="2"/>
              <w:rPr>
                <w:rFonts w:hint="default"/>
              </w:rPr>
            </w:pPr>
          </w:p>
        </w:tc>
      </w:tr>
    </w:tbl>
    <w:p>
      <w:pPr>
        <w:rPr>
          <w:rFonts w:hint="default" w:ascii="Times New Roman" w:hAnsi="Times New Roman" w:eastAsia="宋体" w:cs="Times New Roman"/>
          <w:color w:val="auto"/>
          <w:highlight w:val="none"/>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adjustRightInd w:val="0"/>
        <w:snapToGrid w:val="0"/>
        <w:spacing w:before="0" w:beforeAutospacing="0" w:after="0" w:afterAutospacing="0"/>
        <w:jc w:val="center"/>
        <w:outlineLvl w:val="0"/>
        <w:rPr>
          <w:rFonts w:hint="default" w:ascii="Times New Roman" w:hAnsi="Times New Roman" w:eastAsia="宋体" w:cs="Times New Roman"/>
          <w:snapToGrid w:val="0"/>
          <w:color w:val="auto"/>
          <w:sz w:val="36"/>
          <w:szCs w:val="38"/>
          <w:highlight w:val="none"/>
        </w:rPr>
      </w:pPr>
      <w:bookmarkStart w:id="21" w:name="_Toc68247245"/>
      <w:r>
        <w:rPr>
          <w:rFonts w:hint="default" w:ascii="Times New Roman" w:hAnsi="Times New Roman" w:eastAsia="宋体" w:cs="Times New Roman"/>
          <w:snapToGrid w:val="0"/>
          <w:color w:val="auto"/>
          <w:sz w:val="36"/>
          <w:szCs w:val="38"/>
          <w:highlight w:val="none"/>
        </w:rPr>
        <w:t>建设项目污染物排放量汇总表</w:t>
      </w:r>
      <w:bookmarkEnd w:id="21"/>
    </w:p>
    <w:tbl>
      <w:tblPr>
        <w:tblStyle w:val="2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84"/>
        <w:gridCol w:w="2053"/>
        <w:gridCol w:w="1482"/>
        <w:gridCol w:w="913"/>
        <w:gridCol w:w="1482"/>
        <w:gridCol w:w="1482"/>
        <w:gridCol w:w="1141"/>
        <w:gridCol w:w="1369"/>
        <w:gridCol w:w="1369"/>
        <w:gridCol w:w="1378"/>
        <w:gridCol w:w="8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8" w:hRule="atLeast"/>
        </w:trPr>
        <w:tc>
          <w:tcPr>
            <w:tcW w:w="208" w:type="pct"/>
            <w:vMerge w:val="restart"/>
            <w:tcBorders>
              <w:tl2br w:val="single" w:color="auto" w:sz="4" w:space="0"/>
            </w:tcBorders>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jc w:val="right"/>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pPr>
              <w:pStyle w:val="45"/>
              <w:keepNext w:val="0"/>
              <w:keepLines w:val="0"/>
              <w:pageBreakBefore w:val="0"/>
              <w:kinsoku/>
              <w:wordWrap/>
              <w:overflowPunct/>
              <w:topLinePunct w:val="0"/>
              <w:autoSpaceDE/>
              <w:autoSpaceDN/>
              <w:bidi w:val="0"/>
              <w:spacing w:beforeLines="0" w:afterLines="0" w:line="240" w:lineRule="auto"/>
              <w:jc w:val="left"/>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730" w:type="pct"/>
            <w:vMerge w:val="restart"/>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527" w:type="pct"/>
            <w:vMerge w:val="restart"/>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现有工程（新华路工厂）排放量</w:t>
            </w:r>
          </w:p>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（固体废物产生量）</w:t>
            </w:r>
          </w:p>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325" w:type="pct"/>
            <w:vMerge w:val="restart"/>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现有工程（新华路工厂）许可排放量</w:t>
            </w:r>
          </w:p>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527" w:type="pct"/>
            <w:vMerge w:val="restart"/>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在建工程排放量</w:t>
            </w:r>
          </w:p>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（固体废物产生量）</w:t>
            </w:r>
          </w:p>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527" w:type="pct"/>
            <w:vMerge w:val="restart"/>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w:t>
            </w:r>
            <w:r>
              <w:rPr>
                <w:rFonts w:hint="default" w:ascii="Times New Roman" w:hAnsi="Times New Roman" w:eastAsia="宋体" w:cs="Times New Roman"/>
                <w:snapToGrid w:val="0"/>
                <w:color w:val="auto"/>
                <w:spacing w:val="-6"/>
                <w:kern w:val="21"/>
                <w:sz w:val="21"/>
                <w:szCs w:val="21"/>
                <w:highlight w:val="none"/>
                <w:lang w:val="en-US" w:eastAsia="zh-CN"/>
              </w:rPr>
              <w:t>新华路</w:t>
            </w:r>
            <w:r>
              <w:rPr>
                <w:rFonts w:hint="default" w:ascii="Times New Roman" w:hAnsi="Times New Roman" w:eastAsia="宋体" w:cs="Times New Roman"/>
                <w:snapToGrid w:val="0"/>
                <w:color w:val="auto"/>
                <w:spacing w:val="-6"/>
                <w:kern w:val="21"/>
                <w:sz w:val="21"/>
                <w:szCs w:val="21"/>
                <w:highlight w:val="none"/>
              </w:rPr>
              <w:t>工厂）排放量（固体废物产生量）</w:t>
            </w:r>
          </w:p>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406" w:type="pct"/>
            <w:vMerge w:val="restart"/>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“”以新带老“”削减量（新华路工厂）（新建项目不填）</w:t>
            </w:r>
          </w:p>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1464" w:type="pct"/>
            <w:gridSpan w:val="3"/>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本项目建成后全厂排放量（固体废物产生量）</w:t>
            </w:r>
          </w:p>
        </w:tc>
        <w:tc>
          <w:tcPr>
            <w:tcW w:w="283" w:type="pct"/>
            <w:vMerge w:val="restart"/>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p>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7" w:hRule="atLeast"/>
        </w:trPr>
        <w:tc>
          <w:tcPr>
            <w:tcW w:w="208" w:type="pct"/>
            <w:vMerge w:val="continue"/>
            <w:tcBorders>
              <w:tl2br w:val="single" w:color="auto" w:sz="4" w:space="0"/>
            </w:tcBorders>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jc w:val="right"/>
              <w:rPr>
                <w:rFonts w:hint="default" w:ascii="Times New Roman" w:hAnsi="Times New Roman" w:eastAsia="宋体" w:cs="Times New Roman"/>
                <w:snapToGrid w:val="0"/>
                <w:color w:val="auto"/>
                <w:spacing w:val="-6"/>
                <w:kern w:val="21"/>
                <w:sz w:val="21"/>
                <w:szCs w:val="21"/>
                <w:highlight w:val="none"/>
              </w:rPr>
            </w:pPr>
          </w:p>
        </w:tc>
        <w:tc>
          <w:tcPr>
            <w:tcW w:w="730" w:type="pct"/>
            <w:vMerge w:val="continue"/>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p>
        </w:tc>
        <w:tc>
          <w:tcPr>
            <w:tcW w:w="527" w:type="pct"/>
            <w:vMerge w:val="continue"/>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p>
        </w:tc>
        <w:tc>
          <w:tcPr>
            <w:tcW w:w="325" w:type="pct"/>
            <w:vMerge w:val="continue"/>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p>
        </w:tc>
        <w:tc>
          <w:tcPr>
            <w:tcW w:w="527" w:type="pct"/>
            <w:vMerge w:val="continue"/>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p>
        </w:tc>
        <w:tc>
          <w:tcPr>
            <w:tcW w:w="527" w:type="pct"/>
            <w:vMerge w:val="continue"/>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p>
        </w:tc>
        <w:tc>
          <w:tcPr>
            <w:tcW w:w="406" w:type="pct"/>
            <w:vMerge w:val="continue"/>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p>
        </w:tc>
        <w:tc>
          <w:tcPr>
            <w:tcW w:w="487" w:type="pct"/>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新华路厂区</w:t>
            </w:r>
          </w:p>
        </w:tc>
        <w:tc>
          <w:tcPr>
            <w:tcW w:w="487" w:type="pct"/>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里河路厂区</w:t>
            </w:r>
          </w:p>
        </w:tc>
        <w:tc>
          <w:tcPr>
            <w:tcW w:w="490" w:type="pct"/>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合计</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283" w:type="pct"/>
            <w:vMerge w:val="continue"/>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restart"/>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废气(有组织)</w:t>
            </w: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油烟</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0.054</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0.054</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0.054</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0.054</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铬酸雾</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0.00252</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0.00252</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0.00252</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0.00252</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3" w:hRule="atLeast"/>
        </w:trPr>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非甲烷总烃</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3.6995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3.6995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3.6995</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0.1184</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3.8179</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颗粒物</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0.1877</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0.1877</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0.1877</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0.1877</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烟尘</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0.027</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0.027</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0.027</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0.027</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SO</w:t>
            </w:r>
            <w:r>
              <w:rPr>
                <w:rStyle w:val="96"/>
                <w:rFonts w:eastAsia="宋体"/>
                <w:lang w:val="en-US" w:eastAsia="zh-CN" w:bidi="ar"/>
              </w:rPr>
              <w:t>2</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0.004</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0.004</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0.004</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0.004</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NO</w:t>
            </w:r>
            <w:r>
              <w:rPr>
                <w:rStyle w:val="96"/>
                <w:rFonts w:eastAsia="宋体"/>
                <w:lang w:val="en-US" w:eastAsia="zh-CN" w:bidi="ar"/>
              </w:rPr>
              <w:t>x</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0.166</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0.166</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0.166</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0.166</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H</w:t>
            </w:r>
            <w:r>
              <w:rPr>
                <w:rStyle w:val="96"/>
                <w:rFonts w:eastAsia="宋体"/>
                <w:lang w:val="en-US" w:eastAsia="zh-CN" w:bidi="ar"/>
              </w:rPr>
              <w:t>2</w:t>
            </w:r>
            <w:r>
              <w:rPr>
                <w:rFonts w:hint="default" w:ascii="Times New Roman" w:hAnsi="Times New Roman" w:eastAsia="宋体" w:cs="Times New Roman"/>
                <w:i w:val="0"/>
                <w:iCs w:val="0"/>
                <w:color w:val="000000"/>
                <w:kern w:val="0"/>
                <w:sz w:val="22"/>
                <w:szCs w:val="22"/>
                <w:u w:val="none"/>
                <w:lang w:val="en-US" w:eastAsia="zh-CN" w:bidi="ar"/>
              </w:rPr>
              <w:t>S</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0.037</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0.037</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0.037</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0.037</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NH</w:t>
            </w:r>
            <w:r>
              <w:rPr>
                <w:rStyle w:val="96"/>
                <w:rFonts w:eastAsia="宋体"/>
                <w:lang w:val="en-US" w:eastAsia="zh-CN" w:bidi="ar"/>
              </w:rPr>
              <w:t>3</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0.034</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0.034</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0.034</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0.034</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restart"/>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废水量</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248428.9</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248428.9</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643</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22438.4</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226633.5</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16258</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242891.5</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-21795.4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COD</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76.8941</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76.8941</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0.224</w:t>
            </w:r>
            <w:r>
              <w:rPr>
                <w:rFonts w:hint="eastAsia" w:cs="Times New Roman"/>
                <w:i w:val="0"/>
                <w:iCs w:val="0"/>
                <w:color w:val="000000"/>
                <w:kern w:val="0"/>
                <w:sz w:val="22"/>
                <w:szCs w:val="22"/>
                <w:u w:val="none"/>
                <w:lang w:val="en-US" w:eastAsia="zh-CN" w:bidi="ar"/>
              </w:rPr>
              <w:t>3</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7.5957 </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69.5227 </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3.7857</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73.3084 </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-7.3714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SS</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44.4462</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44.4462</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0.15</w:t>
            </w:r>
            <w:r>
              <w:rPr>
                <w:rFonts w:hint="eastAsia" w:cs="Times New Roman"/>
                <w:i w:val="0"/>
                <w:iCs w:val="0"/>
                <w:color w:val="000000"/>
                <w:kern w:val="0"/>
                <w:sz w:val="22"/>
                <w:szCs w:val="22"/>
                <w:u w:val="none"/>
                <w:lang w:val="en-US" w:eastAsia="zh-CN" w:bidi="ar"/>
              </w:rPr>
              <w:t>40</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4.6919 </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39.9083 </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2.5573</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42.4656 </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-4.5379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氨氮</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5.4117</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5.4117</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0.0256 </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0.4889 </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4.9484 </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0.3142</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5.2626 </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-0.4633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总磷</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0.7974</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0.7974</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0.0032 </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0.0730 </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0.7276 </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0.0393</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0.7669 </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-0.0698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总氮</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7.9901</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7.9901</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0.0384 </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0.7208 </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7.3077 </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0.4712</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7.7789 </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-0.6824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动植物油</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5.757</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5.757</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0.0256 </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5.7826 </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5.7826 </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0.0256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石油类</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0.9575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0.9575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0.9575 </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0.9575 </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restart"/>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一般工业固体废物</w:t>
            </w: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废金属边角料</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含不合格品、金属氧化物等</w:t>
            </w:r>
            <w:r>
              <w:rPr>
                <w:rFonts w:hint="default" w:ascii="Times New Roman" w:hAnsi="Times New Roman" w:eastAsia="宋体" w:cs="Times New Roman"/>
                <w:i w:val="0"/>
                <w:iCs w:val="0"/>
                <w:color w:val="000000"/>
                <w:kern w:val="0"/>
                <w:sz w:val="22"/>
                <w:szCs w:val="22"/>
                <w:u w:val="none"/>
                <w:lang w:val="en-US" w:eastAsia="zh-CN" w:bidi="ar"/>
              </w:rPr>
              <w:t>)</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4090</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4090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4090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3000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7090</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w:t>
            </w:r>
            <w:r>
              <w:rPr>
                <w:rFonts w:hint="default" w:ascii="Times New Roman" w:hAnsi="Times New Roman" w:eastAsia="宋体" w:cs="Times New Roman"/>
                <w:i w:val="0"/>
                <w:iCs w:val="0"/>
                <w:color w:val="000000"/>
                <w:kern w:val="0"/>
                <w:sz w:val="22"/>
                <w:szCs w:val="22"/>
                <w:u w:val="none"/>
                <w:lang w:val="en-US" w:eastAsia="zh-CN" w:bidi="ar"/>
              </w:rPr>
              <w:t>VCM</w:t>
            </w:r>
            <w:r>
              <w:rPr>
                <w:rFonts w:hint="eastAsia" w:ascii="宋体" w:hAnsi="宋体" w:eastAsia="宋体" w:cs="宋体"/>
                <w:i w:val="0"/>
                <w:iCs w:val="0"/>
                <w:color w:val="000000"/>
                <w:kern w:val="0"/>
                <w:sz w:val="22"/>
                <w:szCs w:val="22"/>
                <w:u w:val="none"/>
                <w:lang w:val="en-US" w:eastAsia="zh-CN" w:bidi="ar"/>
              </w:rPr>
              <w:t>部件</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废滤网</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0.451</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0.451</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0.451</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0.451</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废滤芯</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0.0038</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0.0038</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0.0038</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0.0038</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废弃膜电极组件</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9485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9485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9485</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9485</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废弃电堆</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铬靶</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0.78</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0.78</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0.78</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0.78</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000000"/>
                <w:kern w:val="0"/>
                <w:sz w:val="22"/>
                <w:szCs w:val="22"/>
                <w:u w:val="none"/>
                <w:lang w:val="en-US" w:eastAsia="zh-CN" w:bidi="ar"/>
              </w:rPr>
              <w:t>收集的金属粉尘</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17.1377</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17.1377</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17.1377</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Hans"/>
              </w:rPr>
            </w:pPr>
            <w:r>
              <w:rPr>
                <w:rFonts w:hint="default" w:ascii="Times New Roman" w:hAnsi="Times New Roman" w:eastAsia="宋体" w:cs="Times New Roman"/>
                <w:i w:val="0"/>
                <w:iCs w:val="0"/>
                <w:color w:val="000000"/>
                <w:kern w:val="0"/>
                <w:sz w:val="22"/>
                <w:szCs w:val="22"/>
                <w:u w:val="none"/>
                <w:lang w:val="en-US" w:eastAsia="zh-CN" w:bidi="ar"/>
              </w:rPr>
              <w:t>0.0623</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17.2</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000000"/>
                <w:kern w:val="0"/>
                <w:sz w:val="22"/>
                <w:szCs w:val="22"/>
                <w:u w:val="none"/>
                <w:lang w:val="en-US" w:eastAsia="zh-CN" w:bidi="ar"/>
              </w:rPr>
              <w:t>收集的其他粉尘</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0.0693</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0.0693</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0.0693</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0.0693</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000000"/>
                <w:kern w:val="0"/>
                <w:sz w:val="22"/>
                <w:szCs w:val="22"/>
                <w:u w:val="none"/>
                <w:lang w:val="en-US" w:eastAsia="zh-CN" w:bidi="ar"/>
              </w:rPr>
              <w:t>废过滤材料（废滤袋、废石英砂、废活性炭）</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000000"/>
                <w:kern w:val="0"/>
                <w:sz w:val="22"/>
                <w:szCs w:val="22"/>
                <w:u w:val="none"/>
                <w:lang w:val="en-US" w:eastAsia="zh-CN" w:bidi="ar"/>
              </w:rPr>
              <w:t>废膜组件</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0.003</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0.003</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0.06</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0.063</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0.001</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0.064</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000000"/>
                <w:kern w:val="0"/>
                <w:sz w:val="22"/>
                <w:szCs w:val="22"/>
                <w:u w:val="none"/>
                <w:lang w:val="en-US" w:eastAsia="zh-CN" w:bidi="ar"/>
              </w:rPr>
              <w:t>废玻璃钢珠</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000000"/>
                <w:kern w:val="0"/>
                <w:sz w:val="22"/>
                <w:szCs w:val="22"/>
                <w:u w:val="none"/>
                <w:lang w:val="en-US" w:eastAsia="zh-CN" w:bidi="ar"/>
              </w:rPr>
              <w:t>废钢珠</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0.8</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0.8</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0.8</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0.8</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000000"/>
                <w:kern w:val="0"/>
                <w:sz w:val="22"/>
                <w:szCs w:val="22"/>
                <w:u w:val="none"/>
                <w:lang w:val="en-US" w:eastAsia="zh-CN" w:bidi="ar"/>
              </w:rPr>
              <w:t>废保险丝</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0.01</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0.01</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LED</w:t>
            </w:r>
            <w:r>
              <w:rPr>
                <w:rFonts w:hint="eastAsia" w:ascii="宋体" w:hAnsi="宋体" w:eastAsia="宋体" w:cs="宋体"/>
                <w:i w:val="0"/>
                <w:iCs w:val="0"/>
                <w:color w:val="000000"/>
                <w:kern w:val="0"/>
                <w:sz w:val="22"/>
                <w:szCs w:val="22"/>
                <w:u w:val="none"/>
                <w:lang w:val="en-US" w:eastAsia="zh-CN" w:bidi="ar"/>
              </w:rPr>
              <w:t>灯管</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000000"/>
                <w:kern w:val="0"/>
                <w:sz w:val="22"/>
                <w:szCs w:val="22"/>
                <w:u w:val="none"/>
                <w:lang w:val="en-US" w:eastAsia="zh-CN" w:bidi="ar"/>
              </w:rPr>
              <w:t>生活垃圾</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334.5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334.5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0.008</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334.508</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33.6</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368.108</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000000"/>
                <w:kern w:val="0"/>
                <w:sz w:val="22"/>
                <w:szCs w:val="22"/>
                <w:u w:val="none"/>
                <w:lang w:val="en-US" w:eastAsia="zh-CN" w:bidi="ar"/>
              </w:rPr>
              <w:t>食堂泔脚</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336.5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336.5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0.004</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336.504</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336.504</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restart"/>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危险废物</w:t>
            </w: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含铬挡板</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表面处理废液</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507</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507</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513.6</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513.6</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废油（含废磨料）</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431.625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431.625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431.625</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113.15</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544.775</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废油桶</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50.534</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50.534</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50.534</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70.534</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000000"/>
                <w:kern w:val="0"/>
                <w:sz w:val="22"/>
                <w:szCs w:val="22"/>
                <w:u w:val="none"/>
                <w:lang w:val="en-US" w:eastAsia="zh-CN" w:bidi="ar"/>
              </w:rPr>
              <w:t>化学品容器</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15.505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15.505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0.31</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15.815</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20.815</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有机溶剂</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1.4017</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1.4017</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1.4017</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0.6</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2.0017</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废酸</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0.005</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0.005</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废滤芯、手套等</w:t>
            </w:r>
          </w:p>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（含铬）</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含铬废物（液体）</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污水处理污泥</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37.2</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88.2</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103.2</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37.2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含油废物（砂轮灰、金属屑）</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370.02</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370.02</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370.02</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375.02</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含油废物（滤芯、滤布、毛刷、过滤材料、滤纸等）</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86.06</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86.06</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0</w:t>
            </w:r>
            <w:r>
              <w:rPr>
                <w:rFonts w:hint="eastAsia" w:cs="Times New Roman"/>
                <w:i w:val="0"/>
                <w:iCs w:val="0"/>
                <w:color w:val="000000"/>
                <w:kern w:val="0"/>
                <w:sz w:val="22"/>
                <w:szCs w:val="22"/>
                <w:u w:val="none"/>
                <w:lang w:val="en-US" w:eastAsia="zh-CN" w:bidi="ar"/>
              </w:rPr>
              <w:t>.1</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86.</w:t>
            </w:r>
            <w:r>
              <w:rPr>
                <w:rFonts w:hint="eastAsia"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6</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13.07</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99.</w:t>
            </w:r>
            <w:r>
              <w:rPr>
                <w:rFonts w:hint="eastAsia" w:cs="Times New Roman"/>
                <w:i w:val="0"/>
                <w:iCs w:val="0"/>
                <w:color w:val="000000"/>
                <w:kern w:val="0"/>
                <w:sz w:val="22"/>
                <w:szCs w:val="22"/>
                <w:u w:val="none"/>
                <w:lang w:val="en-US" w:eastAsia="zh-CN" w:bidi="ar"/>
              </w:rPr>
              <w:t>2</w:t>
            </w:r>
            <w:r>
              <w:rPr>
                <w:rFonts w:hint="default" w:ascii="Times New Roman" w:hAnsi="Times New Roman" w:eastAsia="宋体" w:cs="Times New Roman"/>
                <w:i w:val="0"/>
                <w:iCs w:val="0"/>
                <w:color w:val="000000"/>
                <w:kern w:val="0"/>
                <w:sz w:val="22"/>
                <w:szCs w:val="22"/>
                <w:u w:val="none"/>
                <w:lang w:val="en-US" w:eastAsia="zh-CN" w:bidi="ar"/>
              </w:rPr>
              <w:t>3</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w:t>
            </w:r>
            <w:r>
              <w:rPr>
                <w:rFonts w:hint="eastAsia" w:cs="Times New Roman"/>
                <w:i w:val="0"/>
                <w:iCs w:val="0"/>
                <w:color w:val="000000"/>
                <w:kern w:val="0"/>
                <w:sz w:val="22"/>
                <w:szCs w:val="22"/>
                <w:u w:val="none"/>
                <w:lang w:val="en-US" w:eastAsia="zh-CN" w:bidi="ar"/>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医疗废物</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0.04</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0.04</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含汞灯管</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废蓄电池</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废试剂（实验室废液）</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烃水混合物（废尿素溶液）</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废弃化学品</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废活性炭</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1.03</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1.03</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1.03</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10.03</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不含油废物（废弃不含油抹布、劳保用品）</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废碱液</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0.14</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0.14</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0.14</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0.14</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ascii="宋体" w:hAnsi="宋体" w:eastAsia="宋体" w:cs="宋体"/>
                <w:i w:val="0"/>
                <w:iCs w:val="0"/>
                <w:color w:val="000000"/>
                <w:kern w:val="0"/>
                <w:sz w:val="22"/>
                <w:szCs w:val="22"/>
                <w:u w:val="none"/>
                <w:lang w:val="en-US" w:eastAsia="zh-CN" w:bidi="ar"/>
              </w:rPr>
              <w:t>浓缩废液</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287.6</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287.6</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155.32</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442.92</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75</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517.92</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155.32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000000"/>
                <w:kern w:val="0"/>
                <w:sz w:val="22"/>
                <w:szCs w:val="22"/>
                <w:u w:val="none"/>
                <w:lang w:val="en-US" w:eastAsia="zh-CN" w:bidi="ar"/>
              </w:rPr>
              <w:t>离心分离和超滤废液</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232.88</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667.88</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667.88</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232.88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废过滤材料</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0.45</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0.45</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r>
              <w:rPr>
                <w:rFonts w:hint="eastAsia" w:ascii="Times New Roman" w:hAnsi="Times New Roman" w:cs="Times New Roman"/>
                <w:i w:val="0"/>
                <w:iCs w:val="0"/>
                <w:color w:val="000000"/>
                <w:kern w:val="0"/>
                <w:sz w:val="22"/>
                <w:szCs w:val="22"/>
                <w:u w:val="none"/>
                <w:lang w:val="en-US" w:eastAsia="zh-CN" w:bidi="ar"/>
              </w:rPr>
              <w:t>.01</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w:t>
            </w:r>
            <w:r>
              <w:rPr>
                <w:rFonts w:hint="eastAsia" w:ascii="Times New Roman" w:hAnsi="Times New Roman" w:cs="Times New Roman"/>
                <w:i w:val="0"/>
                <w:iCs w:val="0"/>
                <w:color w:val="000000"/>
                <w:kern w:val="0"/>
                <w:sz w:val="22"/>
                <w:szCs w:val="22"/>
                <w:u w:val="none"/>
                <w:lang w:val="en-US" w:eastAsia="zh-CN" w:bidi="ar"/>
              </w:rPr>
              <w:t>6</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w:t>
            </w:r>
            <w:r>
              <w:rPr>
                <w:rFonts w:hint="eastAsia" w:ascii="Times New Roman" w:hAnsi="Times New Roman" w:cs="Times New Roman"/>
                <w:i w:val="0"/>
                <w:iCs w:val="0"/>
                <w:color w:val="000000"/>
                <w:kern w:val="0"/>
                <w:sz w:val="22"/>
                <w:szCs w:val="22"/>
                <w:u w:val="none"/>
                <w:lang w:val="en-US" w:eastAsia="zh-CN" w:bidi="ar"/>
              </w:rPr>
              <w:t>6</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w:t>
            </w:r>
            <w:r>
              <w:rPr>
                <w:rFonts w:hint="eastAsia" w:ascii="Times New Roman" w:hAnsi="Times New Roman" w:cs="Times New Roman"/>
                <w:i w:val="0"/>
                <w:iCs w:val="0"/>
                <w:color w:val="000000"/>
                <w:kern w:val="0"/>
                <w:sz w:val="22"/>
                <w:szCs w:val="22"/>
                <w:u w:val="none"/>
                <w:lang w:val="en-US" w:eastAsia="zh-CN" w:bidi="ar"/>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8" w:type="pct"/>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000000"/>
                <w:kern w:val="0"/>
                <w:sz w:val="22"/>
                <w:szCs w:val="22"/>
                <w:u w:val="none"/>
                <w:lang w:val="en-US" w:eastAsia="zh-CN" w:bidi="ar"/>
              </w:rPr>
              <w:t>废塑料、废纸箱、废木栈板</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1250</w:t>
            </w:r>
          </w:p>
        </w:tc>
        <w:tc>
          <w:tcPr>
            <w:tcW w:w="9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1250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1250</w:t>
            </w:r>
          </w:p>
        </w:tc>
        <w:tc>
          <w:tcPr>
            <w:tcW w:w="13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600</w:t>
            </w:r>
          </w:p>
        </w:tc>
        <w:tc>
          <w:tcPr>
            <w:tcW w:w="13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1850</w:t>
            </w:r>
          </w:p>
        </w:tc>
        <w:tc>
          <w:tcPr>
            <w:tcW w:w="7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r>
    </w:tbl>
    <w:p>
      <w:pPr>
        <w:pStyle w:val="54"/>
        <w:rPr>
          <w:rFonts w:hint="default" w:ascii="Times New Roman" w:hAnsi="Times New Roman" w:eastAsia="宋体" w:cs="Times New Roman"/>
          <w:color w:val="auto"/>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pPr>
        <w:rPr>
          <w:rFonts w:hint="default" w:ascii="Times New Roman" w:hAnsi="Times New Roman" w:eastAsia="宋体" w:cs="Times New Roman"/>
          <w:color w:val="auto"/>
          <w:highlight w:val="none"/>
        </w:rPr>
      </w:pPr>
    </w:p>
    <w:p/>
    <w:p/>
    <w:p/>
    <w:p/>
    <w:p/>
    <w:p/>
    <w:p/>
    <w:p/>
    <w:p/>
    <w:p/>
    <w:p/>
    <w:p/>
    <w:p/>
    <w:p/>
    <w:p/>
    <w:sectPr>
      <w:footerReference r:id="rId11" w:type="default"/>
      <w:pgSz w:w="16838" w:h="11906" w:orient="landscape"/>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FangSong_GB2312">
    <w:altName w:val="仿宋"/>
    <w:panose1 w:val="02010609060101010101"/>
    <w:charset w:val="00"/>
    <w:family w:val="modern"/>
    <w:pitch w:val="default"/>
    <w:sig w:usb0="00000000" w:usb1="00000000"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00"/>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Tms Rmn">
    <w:altName w:val="Segoe Print"/>
    <w:panose1 w:val="02020603040505020304"/>
    <w:charset w:val="00"/>
    <w:family w:val="roman"/>
    <w:pitch w:val="default"/>
    <w:sig w:usb0="00000000" w:usb1="00000000" w:usb2="00000000" w:usb3="00000000" w:csb0="00000001" w:csb1="00000000"/>
  </w:font>
  <w:font w:name="PMingLiU">
    <w:altName w:val="Verdana"/>
    <w:panose1 w:val="02010601000101010101"/>
    <w:charset w:val="00"/>
    <w:family w:val="auto"/>
    <w:pitch w:val="default"/>
    <w:sig w:usb0="00000000" w:usb1="00000000" w:usb2="00000010" w:usb3="00000000" w:csb0="0010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roman"/>
    <w:pitch w:val="default"/>
    <w:sig w:usb0="00000000" w:usb1="00000000" w:usb2="00000000" w:usb3="00000000" w:csb0="80000000" w:csb1="00000000"/>
  </w:font>
  <w:font w:name="Times New Roman Regular">
    <w:altName w:val="Times New Roman"/>
    <w:panose1 w:val="020206030504050203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fldChar w:fldCharType="begin"/>
    </w:r>
    <w:r>
      <w:rPr>
        <w:rStyle w:val="24"/>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jc w:val="both"/>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jc w:val="both"/>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jc w:val="both"/>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Style w:val="24"/>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95</w:t>
                    </w:r>
                    <w:r>
                      <w:fldChar w:fldCharType="end"/>
                    </w:r>
                  </w:p>
                </w:txbxContent>
              </v:textbox>
            </v:shape>
          </w:pict>
        </mc:Fallback>
      </mc:AlternateContent>
    </w:r>
  </w:p>
  <w:p>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3A88DF"/>
    <w:multiLevelType w:val="singleLevel"/>
    <w:tmpl w:val="C03A88DF"/>
    <w:lvl w:ilvl="0" w:tentative="0">
      <w:start w:val="1"/>
      <w:numFmt w:val="decimal"/>
      <w:suff w:val="nothing"/>
      <w:lvlText w:val="（%1）"/>
      <w:lvlJc w:val="left"/>
    </w:lvl>
  </w:abstractNum>
  <w:abstractNum w:abstractNumId="1">
    <w:nsid w:val="E931A960"/>
    <w:multiLevelType w:val="singleLevel"/>
    <w:tmpl w:val="E931A960"/>
    <w:lvl w:ilvl="0" w:tentative="0">
      <w:start w:val="1"/>
      <w:numFmt w:val="decimal"/>
      <w:lvlText w:val="%1"/>
      <w:lvlJc w:val="right"/>
      <w:pPr>
        <w:tabs>
          <w:tab w:val="left" w:pos="0"/>
        </w:tabs>
        <w:ind w:left="0" w:firstLine="0"/>
      </w:pPr>
      <w:rPr>
        <w:rFonts w:hint="eastAsia" w:ascii="宋体" w:hAnsi="宋体" w:eastAsia="宋体" w:cs="宋体"/>
      </w:rPr>
    </w:lvl>
  </w:abstractNum>
  <w:abstractNum w:abstractNumId="2">
    <w:nsid w:val="072129BE"/>
    <w:multiLevelType w:val="multilevel"/>
    <w:tmpl w:val="072129BE"/>
    <w:lvl w:ilvl="0" w:tentative="0">
      <w:start w:val="1"/>
      <w:numFmt w:val="decimal"/>
      <w:lvlText w:val="%1）"/>
      <w:lvlJc w:val="left"/>
      <w:pPr>
        <w:ind w:left="765" w:hanging="360"/>
      </w:pPr>
      <w:rPr>
        <w:rFonts w:hint="default"/>
      </w:rPr>
    </w:lvl>
    <w:lvl w:ilvl="1" w:tentative="0">
      <w:start w:val="1"/>
      <w:numFmt w:val="lowerLetter"/>
      <w:lvlText w:val="%2)"/>
      <w:lvlJc w:val="left"/>
      <w:pPr>
        <w:ind w:left="1245" w:hanging="420"/>
      </w:pPr>
    </w:lvl>
    <w:lvl w:ilvl="2" w:tentative="0">
      <w:start w:val="1"/>
      <w:numFmt w:val="lowerRoman"/>
      <w:lvlText w:val="%3."/>
      <w:lvlJc w:val="right"/>
      <w:pPr>
        <w:ind w:left="1665" w:hanging="420"/>
      </w:pPr>
    </w:lvl>
    <w:lvl w:ilvl="3" w:tentative="0">
      <w:start w:val="1"/>
      <w:numFmt w:val="decimal"/>
      <w:lvlText w:val="%4."/>
      <w:lvlJc w:val="left"/>
      <w:pPr>
        <w:ind w:left="2085" w:hanging="420"/>
      </w:pPr>
    </w:lvl>
    <w:lvl w:ilvl="4" w:tentative="0">
      <w:start w:val="1"/>
      <w:numFmt w:val="lowerLetter"/>
      <w:lvlText w:val="%5)"/>
      <w:lvlJc w:val="left"/>
      <w:pPr>
        <w:ind w:left="2505" w:hanging="420"/>
      </w:pPr>
    </w:lvl>
    <w:lvl w:ilvl="5" w:tentative="0">
      <w:start w:val="1"/>
      <w:numFmt w:val="lowerRoman"/>
      <w:lvlText w:val="%6."/>
      <w:lvlJc w:val="right"/>
      <w:pPr>
        <w:ind w:left="2925" w:hanging="420"/>
      </w:pPr>
    </w:lvl>
    <w:lvl w:ilvl="6" w:tentative="0">
      <w:start w:val="1"/>
      <w:numFmt w:val="decimal"/>
      <w:lvlText w:val="%7."/>
      <w:lvlJc w:val="left"/>
      <w:pPr>
        <w:ind w:left="3345" w:hanging="420"/>
      </w:pPr>
    </w:lvl>
    <w:lvl w:ilvl="7" w:tentative="0">
      <w:start w:val="1"/>
      <w:numFmt w:val="lowerLetter"/>
      <w:lvlText w:val="%8)"/>
      <w:lvlJc w:val="left"/>
      <w:pPr>
        <w:ind w:left="3765" w:hanging="420"/>
      </w:pPr>
    </w:lvl>
    <w:lvl w:ilvl="8" w:tentative="0">
      <w:start w:val="1"/>
      <w:numFmt w:val="lowerRoman"/>
      <w:lvlText w:val="%9."/>
      <w:lvlJc w:val="right"/>
      <w:pPr>
        <w:ind w:left="4185" w:hanging="420"/>
      </w:pPr>
    </w:lvl>
  </w:abstractNum>
  <w:abstractNum w:abstractNumId="3">
    <w:nsid w:val="08DC07B0"/>
    <w:multiLevelType w:val="multilevel"/>
    <w:tmpl w:val="08DC07B0"/>
    <w:lvl w:ilvl="0" w:tentative="0">
      <w:start w:val="1"/>
      <w:numFmt w:val="decimal"/>
      <w:lvlText w:val="%1、"/>
      <w:lvlJc w:val="left"/>
      <w:pPr>
        <w:ind w:left="720" w:hanging="72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AD945DB"/>
    <w:multiLevelType w:val="multilevel"/>
    <w:tmpl w:val="0AD945DB"/>
    <w:lvl w:ilvl="0" w:tentative="0">
      <w:start w:val="1"/>
      <w:numFmt w:val="decimalEnclosedCircle"/>
      <w:lvlText w:val="%1"/>
      <w:lvlJc w:val="left"/>
      <w:pPr>
        <w:ind w:left="800" w:hanging="360"/>
      </w:pPr>
      <w:rPr>
        <w:rFonts w:hint="default" w:ascii="宋体" w:hAnsi="宋体"/>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5">
    <w:nsid w:val="0DD31259"/>
    <w:multiLevelType w:val="multilevel"/>
    <w:tmpl w:val="0DD31259"/>
    <w:lvl w:ilvl="0" w:tentative="0">
      <w:start w:val="1"/>
      <w:numFmt w:val="decimalEnclosedCircle"/>
      <w:lvlText w:val="%1"/>
      <w:lvlJc w:val="left"/>
      <w:pPr>
        <w:ind w:left="842" w:hanging="360"/>
      </w:pPr>
      <w:rPr>
        <w:rFonts w:hint="default" w:ascii="宋体" w:hAnsi="宋体"/>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1E5F62B2"/>
    <w:multiLevelType w:val="multilevel"/>
    <w:tmpl w:val="1E5F62B2"/>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16D0869"/>
    <w:multiLevelType w:val="multilevel"/>
    <w:tmpl w:val="216D0869"/>
    <w:lvl w:ilvl="0" w:tentative="0">
      <w:start w:val="1"/>
      <w:numFmt w:val="decimal"/>
      <w:lvlText w:val="（%1）"/>
      <w:lvlJc w:val="left"/>
      <w:pPr>
        <w:ind w:left="1200" w:hanging="720"/>
      </w:pPr>
      <w:rPr>
        <w:rFonts w:hint="default"/>
      </w:rPr>
    </w:lvl>
    <w:lvl w:ilvl="1" w:tentative="0">
      <w:start w:val="3"/>
      <w:numFmt w:val="decimalEnclosedCircle"/>
      <w:lvlText w:val="%2"/>
      <w:lvlJc w:val="left"/>
      <w:pPr>
        <w:ind w:left="1260" w:hanging="360"/>
      </w:pPr>
      <w:rPr>
        <w:rFonts w:hint="default" w:ascii="宋体" w:hAnsi="宋体"/>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30DF0629"/>
    <w:multiLevelType w:val="multilevel"/>
    <w:tmpl w:val="30DF0629"/>
    <w:lvl w:ilvl="0" w:tentative="0">
      <w:start w:val="1"/>
      <w:numFmt w:val="decimal"/>
      <w:lvlText w:val="%1、"/>
      <w:lvlJc w:val="left"/>
      <w:pPr>
        <w:ind w:left="795" w:hanging="360"/>
      </w:pPr>
      <w:rPr>
        <w:rFonts w:hint="default"/>
      </w:rPr>
    </w:lvl>
    <w:lvl w:ilvl="1" w:tentative="0">
      <w:start w:val="1"/>
      <w:numFmt w:val="lowerLetter"/>
      <w:lvlText w:val="%2)"/>
      <w:lvlJc w:val="left"/>
      <w:pPr>
        <w:ind w:left="1275" w:hanging="420"/>
      </w:pPr>
    </w:lvl>
    <w:lvl w:ilvl="2" w:tentative="0">
      <w:start w:val="1"/>
      <w:numFmt w:val="lowerRoman"/>
      <w:lvlText w:val="%3."/>
      <w:lvlJc w:val="right"/>
      <w:pPr>
        <w:ind w:left="1695" w:hanging="420"/>
      </w:pPr>
    </w:lvl>
    <w:lvl w:ilvl="3" w:tentative="0">
      <w:start w:val="1"/>
      <w:numFmt w:val="decimal"/>
      <w:lvlText w:val="%4."/>
      <w:lvlJc w:val="left"/>
      <w:pPr>
        <w:ind w:left="2115" w:hanging="420"/>
      </w:pPr>
    </w:lvl>
    <w:lvl w:ilvl="4" w:tentative="0">
      <w:start w:val="1"/>
      <w:numFmt w:val="lowerLetter"/>
      <w:lvlText w:val="%5)"/>
      <w:lvlJc w:val="left"/>
      <w:pPr>
        <w:ind w:left="2535" w:hanging="420"/>
      </w:pPr>
    </w:lvl>
    <w:lvl w:ilvl="5" w:tentative="0">
      <w:start w:val="1"/>
      <w:numFmt w:val="lowerRoman"/>
      <w:lvlText w:val="%6."/>
      <w:lvlJc w:val="right"/>
      <w:pPr>
        <w:ind w:left="2955" w:hanging="420"/>
      </w:pPr>
    </w:lvl>
    <w:lvl w:ilvl="6" w:tentative="0">
      <w:start w:val="1"/>
      <w:numFmt w:val="decimal"/>
      <w:lvlText w:val="%7."/>
      <w:lvlJc w:val="left"/>
      <w:pPr>
        <w:ind w:left="3375" w:hanging="420"/>
      </w:pPr>
    </w:lvl>
    <w:lvl w:ilvl="7" w:tentative="0">
      <w:start w:val="1"/>
      <w:numFmt w:val="lowerLetter"/>
      <w:lvlText w:val="%8)"/>
      <w:lvlJc w:val="left"/>
      <w:pPr>
        <w:ind w:left="3795" w:hanging="420"/>
      </w:pPr>
    </w:lvl>
    <w:lvl w:ilvl="8" w:tentative="0">
      <w:start w:val="1"/>
      <w:numFmt w:val="lowerRoman"/>
      <w:lvlText w:val="%9."/>
      <w:lvlJc w:val="right"/>
      <w:pPr>
        <w:ind w:left="4215" w:hanging="420"/>
      </w:pPr>
    </w:lvl>
  </w:abstractNum>
  <w:abstractNum w:abstractNumId="9">
    <w:nsid w:val="3A8C3DA8"/>
    <w:multiLevelType w:val="multilevel"/>
    <w:tmpl w:val="3A8C3DA8"/>
    <w:lvl w:ilvl="0" w:tentative="0">
      <w:start w:val="1"/>
      <w:numFmt w:val="decimal"/>
      <w:lvlText w:val="表3-%1"/>
      <w:lvlJc w:val="center"/>
      <w:pPr>
        <w:ind w:left="842" w:hanging="420"/>
      </w:pPr>
      <w:rPr>
        <w:rFonts w:hint="eastAsia"/>
        <w:sz w:val="24"/>
        <w:lang w:val="en-US"/>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0">
    <w:nsid w:val="3C5F49C3"/>
    <w:multiLevelType w:val="multilevel"/>
    <w:tmpl w:val="3C5F49C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746905C"/>
    <w:multiLevelType w:val="multilevel"/>
    <w:tmpl w:val="5746905C"/>
    <w:lvl w:ilvl="0" w:tentative="0">
      <w:start w:val="1"/>
      <w:numFmt w:val="decimal"/>
      <w:suff w:val="space"/>
      <w:lvlText w:val="%1"/>
      <w:lvlJc w:val="left"/>
      <w:pPr>
        <w:tabs>
          <w:tab w:val="left" w:pos="0"/>
        </w:tabs>
        <w:ind w:left="0" w:firstLine="0"/>
      </w:pPr>
      <w:rPr>
        <w:rFonts w:hint="default" w:ascii="Times New Roman" w:hAnsi="Times New Roman" w:eastAsia="宋体"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90A2D0F"/>
    <w:multiLevelType w:val="multilevel"/>
    <w:tmpl w:val="590A2D0F"/>
    <w:lvl w:ilvl="0" w:tentative="0">
      <w:start w:val="1"/>
      <w:numFmt w:val="decimal"/>
      <w:lvlText w:val="（%1）"/>
      <w:lvlJc w:val="left"/>
      <w:pPr>
        <w:ind w:left="1140" w:hanging="720"/>
      </w:pPr>
      <w:rPr>
        <w:rFonts w:hint="default"/>
      </w:rPr>
    </w:lvl>
    <w:lvl w:ilvl="1" w:tentative="0">
      <w:start w:val="1"/>
      <w:numFmt w:val="lowerLetter"/>
      <w:lvlText w:val="%2)"/>
      <w:lvlJc w:val="left"/>
      <w:pPr>
        <w:ind w:left="1245" w:hanging="420"/>
      </w:pPr>
    </w:lvl>
    <w:lvl w:ilvl="2" w:tentative="0">
      <w:start w:val="1"/>
      <w:numFmt w:val="lowerRoman"/>
      <w:lvlText w:val="%3."/>
      <w:lvlJc w:val="right"/>
      <w:pPr>
        <w:ind w:left="1665" w:hanging="420"/>
      </w:pPr>
    </w:lvl>
    <w:lvl w:ilvl="3" w:tentative="0">
      <w:start w:val="1"/>
      <w:numFmt w:val="decimal"/>
      <w:lvlText w:val="%4."/>
      <w:lvlJc w:val="left"/>
      <w:pPr>
        <w:ind w:left="2085" w:hanging="420"/>
      </w:pPr>
    </w:lvl>
    <w:lvl w:ilvl="4" w:tentative="0">
      <w:start w:val="1"/>
      <w:numFmt w:val="lowerLetter"/>
      <w:lvlText w:val="%5)"/>
      <w:lvlJc w:val="left"/>
      <w:pPr>
        <w:ind w:left="2505" w:hanging="420"/>
      </w:pPr>
    </w:lvl>
    <w:lvl w:ilvl="5" w:tentative="0">
      <w:start w:val="1"/>
      <w:numFmt w:val="lowerRoman"/>
      <w:lvlText w:val="%6."/>
      <w:lvlJc w:val="right"/>
      <w:pPr>
        <w:ind w:left="2925" w:hanging="420"/>
      </w:pPr>
    </w:lvl>
    <w:lvl w:ilvl="6" w:tentative="0">
      <w:start w:val="1"/>
      <w:numFmt w:val="decimal"/>
      <w:lvlText w:val="%7."/>
      <w:lvlJc w:val="left"/>
      <w:pPr>
        <w:ind w:left="3345" w:hanging="420"/>
      </w:pPr>
    </w:lvl>
    <w:lvl w:ilvl="7" w:tentative="0">
      <w:start w:val="1"/>
      <w:numFmt w:val="lowerLetter"/>
      <w:lvlText w:val="%8)"/>
      <w:lvlJc w:val="left"/>
      <w:pPr>
        <w:ind w:left="3765" w:hanging="420"/>
      </w:pPr>
    </w:lvl>
    <w:lvl w:ilvl="8" w:tentative="0">
      <w:start w:val="1"/>
      <w:numFmt w:val="lowerRoman"/>
      <w:lvlText w:val="%9."/>
      <w:lvlJc w:val="right"/>
      <w:pPr>
        <w:ind w:left="4185" w:hanging="420"/>
      </w:pPr>
    </w:lvl>
  </w:abstractNum>
  <w:abstractNum w:abstractNumId="13">
    <w:nsid w:val="59E078E7"/>
    <w:multiLevelType w:val="singleLevel"/>
    <w:tmpl w:val="59E078E7"/>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14">
    <w:nsid w:val="5DBB1823"/>
    <w:multiLevelType w:val="multilevel"/>
    <w:tmpl w:val="5DBB1823"/>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67C8268B"/>
    <w:multiLevelType w:val="multilevel"/>
    <w:tmpl w:val="67C8268B"/>
    <w:lvl w:ilvl="0" w:tentative="0">
      <w:start w:val="1"/>
      <w:numFmt w:val="decimal"/>
      <w:lvlText w:val="（%1）"/>
      <w:lvlJc w:val="left"/>
      <w:pPr>
        <w:ind w:left="1125" w:hanging="720"/>
      </w:pPr>
      <w:rPr>
        <w:rFonts w:hint="default"/>
      </w:rPr>
    </w:lvl>
    <w:lvl w:ilvl="1" w:tentative="0">
      <w:start w:val="1"/>
      <w:numFmt w:val="lowerLetter"/>
      <w:lvlText w:val="%2)"/>
      <w:lvlJc w:val="left"/>
      <w:pPr>
        <w:ind w:left="1245" w:hanging="420"/>
      </w:pPr>
    </w:lvl>
    <w:lvl w:ilvl="2" w:tentative="0">
      <w:start w:val="1"/>
      <w:numFmt w:val="lowerRoman"/>
      <w:lvlText w:val="%3."/>
      <w:lvlJc w:val="right"/>
      <w:pPr>
        <w:ind w:left="1665" w:hanging="420"/>
      </w:pPr>
    </w:lvl>
    <w:lvl w:ilvl="3" w:tentative="0">
      <w:start w:val="1"/>
      <w:numFmt w:val="decimal"/>
      <w:lvlText w:val="%4."/>
      <w:lvlJc w:val="left"/>
      <w:pPr>
        <w:ind w:left="2085" w:hanging="420"/>
      </w:pPr>
    </w:lvl>
    <w:lvl w:ilvl="4" w:tentative="0">
      <w:start w:val="1"/>
      <w:numFmt w:val="lowerLetter"/>
      <w:lvlText w:val="%5)"/>
      <w:lvlJc w:val="left"/>
      <w:pPr>
        <w:ind w:left="2505" w:hanging="420"/>
      </w:pPr>
    </w:lvl>
    <w:lvl w:ilvl="5" w:tentative="0">
      <w:start w:val="1"/>
      <w:numFmt w:val="lowerRoman"/>
      <w:lvlText w:val="%6."/>
      <w:lvlJc w:val="right"/>
      <w:pPr>
        <w:ind w:left="2925" w:hanging="420"/>
      </w:pPr>
    </w:lvl>
    <w:lvl w:ilvl="6" w:tentative="0">
      <w:start w:val="1"/>
      <w:numFmt w:val="decimal"/>
      <w:lvlText w:val="%7."/>
      <w:lvlJc w:val="left"/>
      <w:pPr>
        <w:ind w:left="3345" w:hanging="420"/>
      </w:pPr>
    </w:lvl>
    <w:lvl w:ilvl="7" w:tentative="0">
      <w:start w:val="1"/>
      <w:numFmt w:val="lowerLetter"/>
      <w:lvlText w:val="%8)"/>
      <w:lvlJc w:val="left"/>
      <w:pPr>
        <w:ind w:left="3765" w:hanging="420"/>
      </w:pPr>
    </w:lvl>
    <w:lvl w:ilvl="8" w:tentative="0">
      <w:start w:val="1"/>
      <w:numFmt w:val="lowerRoman"/>
      <w:lvlText w:val="%9."/>
      <w:lvlJc w:val="right"/>
      <w:pPr>
        <w:ind w:left="4185" w:hanging="420"/>
      </w:pPr>
    </w:lvl>
  </w:abstractNum>
  <w:abstractNum w:abstractNumId="16">
    <w:nsid w:val="7F274AE4"/>
    <w:multiLevelType w:val="multilevel"/>
    <w:tmpl w:val="7F274AE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3"/>
  </w:num>
  <w:num w:numId="2">
    <w:abstractNumId w:val="3"/>
  </w:num>
  <w:num w:numId="3">
    <w:abstractNumId w:val="0"/>
  </w:num>
  <w:num w:numId="4">
    <w:abstractNumId w:val="1"/>
    <w:lvlOverride w:ilvl="0">
      <w:startOverride w:val="1"/>
    </w:lvlOverride>
  </w:num>
  <w:num w:numId="5">
    <w:abstractNumId w:val="11"/>
  </w:num>
  <w:num w:numId="6">
    <w:abstractNumId w:val="7"/>
  </w:num>
  <w:num w:numId="7">
    <w:abstractNumId w:val="6"/>
  </w:num>
  <w:num w:numId="8">
    <w:abstractNumId w:val="9"/>
  </w:num>
  <w:num w:numId="9">
    <w:abstractNumId w:val="14"/>
  </w:num>
  <w:num w:numId="10">
    <w:abstractNumId w:val="2"/>
  </w:num>
  <w:num w:numId="11">
    <w:abstractNumId w:val="4"/>
  </w:num>
  <w:num w:numId="12">
    <w:abstractNumId w:val="5"/>
  </w:num>
  <w:num w:numId="13">
    <w:abstractNumId w:val="12"/>
  </w:num>
  <w:num w:numId="14">
    <w:abstractNumId w:val="15"/>
  </w:num>
  <w:num w:numId="15">
    <w:abstractNumId w:val="16"/>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bordersDoNotSurroundHeader w:val="0"/>
  <w:bordersDoNotSurroundFooter w:val="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iNTBlMGVhNTVmMDE2MDAyZDg4YmI1YTM4NTJmYzkifQ=="/>
  </w:docVars>
  <w:rsids>
    <w:rsidRoot w:val="00A14947"/>
    <w:rsid w:val="000005B9"/>
    <w:rsid w:val="0000284C"/>
    <w:rsid w:val="00002AE3"/>
    <w:rsid w:val="00002C91"/>
    <w:rsid w:val="00004AA0"/>
    <w:rsid w:val="000056A5"/>
    <w:rsid w:val="000060B3"/>
    <w:rsid w:val="000078F4"/>
    <w:rsid w:val="00011B43"/>
    <w:rsid w:val="000122C4"/>
    <w:rsid w:val="00012CF8"/>
    <w:rsid w:val="00013916"/>
    <w:rsid w:val="000156E7"/>
    <w:rsid w:val="00015F62"/>
    <w:rsid w:val="0001666C"/>
    <w:rsid w:val="0001745C"/>
    <w:rsid w:val="000200B9"/>
    <w:rsid w:val="000206CA"/>
    <w:rsid w:val="0002294F"/>
    <w:rsid w:val="00023547"/>
    <w:rsid w:val="00023D4A"/>
    <w:rsid w:val="00023E86"/>
    <w:rsid w:val="00024BD0"/>
    <w:rsid w:val="000252CE"/>
    <w:rsid w:val="0002658C"/>
    <w:rsid w:val="00026EC2"/>
    <w:rsid w:val="00027EF9"/>
    <w:rsid w:val="0003010D"/>
    <w:rsid w:val="000305F4"/>
    <w:rsid w:val="00031E48"/>
    <w:rsid w:val="00032A06"/>
    <w:rsid w:val="00032D81"/>
    <w:rsid w:val="000348E5"/>
    <w:rsid w:val="00035A7E"/>
    <w:rsid w:val="00037A64"/>
    <w:rsid w:val="00042EB8"/>
    <w:rsid w:val="000434D9"/>
    <w:rsid w:val="0004364B"/>
    <w:rsid w:val="00044B18"/>
    <w:rsid w:val="00044D83"/>
    <w:rsid w:val="00045611"/>
    <w:rsid w:val="00045B74"/>
    <w:rsid w:val="00045BBA"/>
    <w:rsid w:val="00045C28"/>
    <w:rsid w:val="0004601D"/>
    <w:rsid w:val="00050587"/>
    <w:rsid w:val="00050D7F"/>
    <w:rsid w:val="0005112C"/>
    <w:rsid w:val="000521C5"/>
    <w:rsid w:val="00052477"/>
    <w:rsid w:val="00052897"/>
    <w:rsid w:val="00052D09"/>
    <w:rsid w:val="0005300F"/>
    <w:rsid w:val="000531CE"/>
    <w:rsid w:val="000536BE"/>
    <w:rsid w:val="00053F89"/>
    <w:rsid w:val="0005424C"/>
    <w:rsid w:val="0005549C"/>
    <w:rsid w:val="00055855"/>
    <w:rsid w:val="00056088"/>
    <w:rsid w:val="00056649"/>
    <w:rsid w:val="00060B7B"/>
    <w:rsid w:val="00061A0A"/>
    <w:rsid w:val="00061B1F"/>
    <w:rsid w:val="00062215"/>
    <w:rsid w:val="0006249A"/>
    <w:rsid w:val="00062869"/>
    <w:rsid w:val="00064113"/>
    <w:rsid w:val="00067CDA"/>
    <w:rsid w:val="000700D2"/>
    <w:rsid w:val="00071543"/>
    <w:rsid w:val="00071948"/>
    <w:rsid w:val="00072207"/>
    <w:rsid w:val="000733C4"/>
    <w:rsid w:val="00074783"/>
    <w:rsid w:val="0007544B"/>
    <w:rsid w:val="00075A95"/>
    <w:rsid w:val="00076969"/>
    <w:rsid w:val="00076986"/>
    <w:rsid w:val="00077328"/>
    <w:rsid w:val="0008070B"/>
    <w:rsid w:val="00080F9E"/>
    <w:rsid w:val="000810AC"/>
    <w:rsid w:val="00081A02"/>
    <w:rsid w:val="00082231"/>
    <w:rsid w:val="00082766"/>
    <w:rsid w:val="000835D7"/>
    <w:rsid w:val="0008551A"/>
    <w:rsid w:val="00091DD4"/>
    <w:rsid w:val="00092544"/>
    <w:rsid w:val="00092D38"/>
    <w:rsid w:val="0009377B"/>
    <w:rsid w:val="00096190"/>
    <w:rsid w:val="0009678A"/>
    <w:rsid w:val="00096EF2"/>
    <w:rsid w:val="000979E6"/>
    <w:rsid w:val="00097E9B"/>
    <w:rsid w:val="000A0884"/>
    <w:rsid w:val="000A100B"/>
    <w:rsid w:val="000A2096"/>
    <w:rsid w:val="000A20C9"/>
    <w:rsid w:val="000A5473"/>
    <w:rsid w:val="000A61F3"/>
    <w:rsid w:val="000B058F"/>
    <w:rsid w:val="000B0DEE"/>
    <w:rsid w:val="000B0E21"/>
    <w:rsid w:val="000B14C5"/>
    <w:rsid w:val="000B3943"/>
    <w:rsid w:val="000B4467"/>
    <w:rsid w:val="000B4DB9"/>
    <w:rsid w:val="000B51A3"/>
    <w:rsid w:val="000B5F6E"/>
    <w:rsid w:val="000C03F3"/>
    <w:rsid w:val="000C09AC"/>
    <w:rsid w:val="000C1F47"/>
    <w:rsid w:val="000C2078"/>
    <w:rsid w:val="000C2408"/>
    <w:rsid w:val="000C3B41"/>
    <w:rsid w:val="000C46B7"/>
    <w:rsid w:val="000C5083"/>
    <w:rsid w:val="000C65CA"/>
    <w:rsid w:val="000C7479"/>
    <w:rsid w:val="000C7613"/>
    <w:rsid w:val="000C767F"/>
    <w:rsid w:val="000D21BC"/>
    <w:rsid w:val="000D2E30"/>
    <w:rsid w:val="000D3663"/>
    <w:rsid w:val="000D41B9"/>
    <w:rsid w:val="000D4382"/>
    <w:rsid w:val="000D514E"/>
    <w:rsid w:val="000D55AB"/>
    <w:rsid w:val="000D5A44"/>
    <w:rsid w:val="000D5FAE"/>
    <w:rsid w:val="000D71F3"/>
    <w:rsid w:val="000D7ECB"/>
    <w:rsid w:val="000E0903"/>
    <w:rsid w:val="000E2BEA"/>
    <w:rsid w:val="000E35D5"/>
    <w:rsid w:val="000E3ED2"/>
    <w:rsid w:val="000E4FD6"/>
    <w:rsid w:val="000E5C5A"/>
    <w:rsid w:val="000E6621"/>
    <w:rsid w:val="000F2B22"/>
    <w:rsid w:val="000F2F15"/>
    <w:rsid w:val="000F3883"/>
    <w:rsid w:val="000F3A92"/>
    <w:rsid w:val="000F65F4"/>
    <w:rsid w:val="000F774B"/>
    <w:rsid w:val="00102165"/>
    <w:rsid w:val="001046B2"/>
    <w:rsid w:val="00105D17"/>
    <w:rsid w:val="001074CA"/>
    <w:rsid w:val="00107806"/>
    <w:rsid w:val="001078C6"/>
    <w:rsid w:val="0011239C"/>
    <w:rsid w:val="00112640"/>
    <w:rsid w:val="00114E8E"/>
    <w:rsid w:val="00115351"/>
    <w:rsid w:val="00117B05"/>
    <w:rsid w:val="00117E84"/>
    <w:rsid w:val="00120707"/>
    <w:rsid w:val="001209B8"/>
    <w:rsid w:val="00121526"/>
    <w:rsid w:val="001244F2"/>
    <w:rsid w:val="00126692"/>
    <w:rsid w:val="00126709"/>
    <w:rsid w:val="00127F72"/>
    <w:rsid w:val="00131F42"/>
    <w:rsid w:val="00134412"/>
    <w:rsid w:val="00134E5A"/>
    <w:rsid w:val="001351FF"/>
    <w:rsid w:val="001357F1"/>
    <w:rsid w:val="001358B4"/>
    <w:rsid w:val="0013624C"/>
    <w:rsid w:val="0013716D"/>
    <w:rsid w:val="00137BBB"/>
    <w:rsid w:val="0014012B"/>
    <w:rsid w:val="00140FA8"/>
    <w:rsid w:val="001418D8"/>
    <w:rsid w:val="00142FEB"/>
    <w:rsid w:val="0014318B"/>
    <w:rsid w:val="00143A2D"/>
    <w:rsid w:val="00144957"/>
    <w:rsid w:val="00145A41"/>
    <w:rsid w:val="00146289"/>
    <w:rsid w:val="001469C5"/>
    <w:rsid w:val="00146CA5"/>
    <w:rsid w:val="00147ABF"/>
    <w:rsid w:val="00151675"/>
    <w:rsid w:val="001526AB"/>
    <w:rsid w:val="00155AC4"/>
    <w:rsid w:val="00155B11"/>
    <w:rsid w:val="00157435"/>
    <w:rsid w:val="001575DC"/>
    <w:rsid w:val="001615D2"/>
    <w:rsid w:val="00162156"/>
    <w:rsid w:val="001637B5"/>
    <w:rsid w:val="0016537E"/>
    <w:rsid w:val="001670FA"/>
    <w:rsid w:val="0017120D"/>
    <w:rsid w:val="0017178C"/>
    <w:rsid w:val="00172275"/>
    <w:rsid w:val="001744F7"/>
    <w:rsid w:val="0017504D"/>
    <w:rsid w:val="0017671A"/>
    <w:rsid w:val="00176961"/>
    <w:rsid w:val="00176C22"/>
    <w:rsid w:val="00176CD2"/>
    <w:rsid w:val="00176D6B"/>
    <w:rsid w:val="00177422"/>
    <w:rsid w:val="0018177C"/>
    <w:rsid w:val="00182920"/>
    <w:rsid w:val="00182FD9"/>
    <w:rsid w:val="00183D5D"/>
    <w:rsid w:val="0018432F"/>
    <w:rsid w:val="00184590"/>
    <w:rsid w:val="001859FF"/>
    <w:rsid w:val="001870D1"/>
    <w:rsid w:val="0018781E"/>
    <w:rsid w:val="00187C6D"/>
    <w:rsid w:val="001900CF"/>
    <w:rsid w:val="00192577"/>
    <w:rsid w:val="0019262D"/>
    <w:rsid w:val="00192F8E"/>
    <w:rsid w:val="00193A5A"/>
    <w:rsid w:val="00193F5D"/>
    <w:rsid w:val="00194AD4"/>
    <w:rsid w:val="00194F2F"/>
    <w:rsid w:val="001A04F4"/>
    <w:rsid w:val="001A1B35"/>
    <w:rsid w:val="001A221D"/>
    <w:rsid w:val="001A2B2F"/>
    <w:rsid w:val="001A48A2"/>
    <w:rsid w:val="001A50CA"/>
    <w:rsid w:val="001A5D4F"/>
    <w:rsid w:val="001A6F61"/>
    <w:rsid w:val="001A75EF"/>
    <w:rsid w:val="001B3D3E"/>
    <w:rsid w:val="001B4D8D"/>
    <w:rsid w:val="001B60C4"/>
    <w:rsid w:val="001B6375"/>
    <w:rsid w:val="001B72B8"/>
    <w:rsid w:val="001B7D4A"/>
    <w:rsid w:val="001C01E6"/>
    <w:rsid w:val="001C03BA"/>
    <w:rsid w:val="001C108C"/>
    <w:rsid w:val="001C1397"/>
    <w:rsid w:val="001C1BFB"/>
    <w:rsid w:val="001C2490"/>
    <w:rsid w:val="001C26EE"/>
    <w:rsid w:val="001C2BEE"/>
    <w:rsid w:val="001C69B3"/>
    <w:rsid w:val="001C6F32"/>
    <w:rsid w:val="001C71DA"/>
    <w:rsid w:val="001C79E9"/>
    <w:rsid w:val="001C7CEA"/>
    <w:rsid w:val="001D26B7"/>
    <w:rsid w:val="001D4AB6"/>
    <w:rsid w:val="001D5110"/>
    <w:rsid w:val="001D5595"/>
    <w:rsid w:val="001D7874"/>
    <w:rsid w:val="001D7F22"/>
    <w:rsid w:val="001E188C"/>
    <w:rsid w:val="001E1D85"/>
    <w:rsid w:val="001E1D8A"/>
    <w:rsid w:val="001E293A"/>
    <w:rsid w:val="001E3324"/>
    <w:rsid w:val="001E3B6E"/>
    <w:rsid w:val="001E44C0"/>
    <w:rsid w:val="001E4E75"/>
    <w:rsid w:val="001E508E"/>
    <w:rsid w:val="001E5E07"/>
    <w:rsid w:val="001E677B"/>
    <w:rsid w:val="001E6F6D"/>
    <w:rsid w:val="001E7927"/>
    <w:rsid w:val="001F09AA"/>
    <w:rsid w:val="001F0F17"/>
    <w:rsid w:val="001F3347"/>
    <w:rsid w:val="001F3405"/>
    <w:rsid w:val="001F69E4"/>
    <w:rsid w:val="00200180"/>
    <w:rsid w:val="0020274A"/>
    <w:rsid w:val="00204CD2"/>
    <w:rsid w:val="00204D6A"/>
    <w:rsid w:val="0020638B"/>
    <w:rsid w:val="00210933"/>
    <w:rsid w:val="00210D01"/>
    <w:rsid w:val="002119AC"/>
    <w:rsid w:val="0021200A"/>
    <w:rsid w:val="002120CD"/>
    <w:rsid w:val="002125B4"/>
    <w:rsid w:val="0021267C"/>
    <w:rsid w:val="00213288"/>
    <w:rsid w:val="002132DA"/>
    <w:rsid w:val="00214377"/>
    <w:rsid w:val="00215347"/>
    <w:rsid w:val="002155B8"/>
    <w:rsid w:val="00216186"/>
    <w:rsid w:val="00217CA6"/>
    <w:rsid w:val="0022011D"/>
    <w:rsid w:val="0022087A"/>
    <w:rsid w:val="00222BD2"/>
    <w:rsid w:val="00224839"/>
    <w:rsid w:val="002249B2"/>
    <w:rsid w:val="00225EE8"/>
    <w:rsid w:val="00226574"/>
    <w:rsid w:val="0022664E"/>
    <w:rsid w:val="002278EC"/>
    <w:rsid w:val="00227925"/>
    <w:rsid w:val="002300C9"/>
    <w:rsid w:val="002300CA"/>
    <w:rsid w:val="002324D2"/>
    <w:rsid w:val="0023280E"/>
    <w:rsid w:val="00232FD7"/>
    <w:rsid w:val="00236549"/>
    <w:rsid w:val="002377D1"/>
    <w:rsid w:val="00237875"/>
    <w:rsid w:val="00241DFE"/>
    <w:rsid w:val="00242EDA"/>
    <w:rsid w:val="00243794"/>
    <w:rsid w:val="00244EDB"/>
    <w:rsid w:val="00245A25"/>
    <w:rsid w:val="00245D41"/>
    <w:rsid w:val="00247935"/>
    <w:rsid w:val="00247B4F"/>
    <w:rsid w:val="002506BC"/>
    <w:rsid w:val="00250977"/>
    <w:rsid w:val="00252F35"/>
    <w:rsid w:val="00254078"/>
    <w:rsid w:val="00254345"/>
    <w:rsid w:val="002557FA"/>
    <w:rsid w:val="00255BC7"/>
    <w:rsid w:val="00255E44"/>
    <w:rsid w:val="002609EE"/>
    <w:rsid w:val="0026139E"/>
    <w:rsid w:val="00262C03"/>
    <w:rsid w:val="00264557"/>
    <w:rsid w:val="00266748"/>
    <w:rsid w:val="00271285"/>
    <w:rsid w:val="00273A86"/>
    <w:rsid w:val="00274D0A"/>
    <w:rsid w:val="002805AB"/>
    <w:rsid w:val="00281C7D"/>
    <w:rsid w:val="002831EE"/>
    <w:rsid w:val="00284204"/>
    <w:rsid w:val="002850B9"/>
    <w:rsid w:val="00285CE3"/>
    <w:rsid w:val="00290997"/>
    <w:rsid w:val="00291773"/>
    <w:rsid w:val="00291E43"/>
    <w:rsid w:val="0029315C"/>
    <w:rsid w:val="002933F5"/>
    <w:rsid w:val="00293DF7"/>
    <w:rsid w:val="0029419D"/>
    <w:rsid w:val="00295AEE"/>
    <w:rsid w:val="00295E4A"/>
    <w:rsid w:val="0029622D"/>
    <w:rsid w:val="00296B9C"/>
    <w:rsid w:val="002974C0"/>
    <w:rsid w:val="002A0A42"/>
    <w:rsid w:val="002A168C"/>
    <w:rsid w:val="002A1983"/>
    <w:rsid w:val="002A388C"/>
    <w:rsid w:val="002A3DC7"/>
    <w:rsid w:val="002A62BF"/>
    <w:rsid w:val="002A7C25"/>
    <w:rsid w:val="002B0007"/>
    <w:rsid w:val="002B0975"/>
    <w:rsid w:val="002B1413"/>
    <w:rsid w:val="002B2D03"/>
    <w:rsid w:val="002B3C24"/>
    <w:rsid w:val="002B3EE6"/>
    <w:rsid w:val="002B46D9"/>
    <w:rsid w:val="002B49E2"/>
    <w:rsid w:val="002B750E"/>
    <w:rsid w:val="002B7B00"/>
    <w:rsid w:val="002B7C44"/>
    <w:rsid w:val="002C2B17"/>
    <w:rsid w:val="002C5BB8"/>
    <w:rsid w:val="002C7E88"/>
    <w:rsid w:val="002D034C"/>
    <w:rsid w:val="002D06CB"/>
    <w:rsid w:val="002D0F08"/>
    <w:rsid w:val="002D1018"/>
    <w:rsid w:val="002D146A"/>
    <w:rsid w:val="002D1704"/>
    <w:rsid w:val="002D2063"/>
    <w:rsid w:val="002D2251"/>
    <w:rsid w:val="002D2C2F"/>
    <w:rsid w:val="002D32F5"/>
    <w:rsid w:val="002D33B5"/>
    <w:rsid w:val="002D3C58"/>
    <w:rsid w:val="002D3DD0"/>
    <w:rsid w:val="002D4947"/>
    <w:rsid w:val="002D4FE2"/>
    <w:rsid w:val="002D54EA"/>
    <w:rsid w:val="002D5B84"/>
    <w:rsid w:val="002D5DBF"/>
    <w:rsid w:val="002D754C"/>
    <w:rsid w:val="002D79F0"/>
    <w:rsid w:val="002E14E4"/>
    <w:rsid w:val="002E189C"/>
    <w:rsid w:val="002E1F3A"/>
    <w:rsid w:val="002E298A"/>
    <w:rsid w:val="002E2D84"/>
    <w:rsid w:val="002E3716"/>
    <w:rsid w:val="002E3AE4"/>
    <w:rsid w:val="002E4DD3"/>
    <w:rsid w:val="002E5DC3"/>
    <w:rsid w:val="002E620B"/>
    <w:rsid w:val="002E7064"/>
    <w:rsid w:val="002E7424"/>
    <w:rsid w:val="002F0820"/>
    <w:rsid w:val="002F1277"/>
    <w:rsid w:val="002F28F0"/>
    <w:rsid w:val="002F2993"/>
    <w:rsid w:val="002F4EEB"/>
    <w:rsid w:val="002F6089"/>
    <w:rsid w:val="002F7032"/>
    <w:rsid w:val="002F7E64"/>
    <w:rsid w:val="0030188D"/>
    <w:rsid w:val="00301978"/>
    <w:rsid w:val="00302AD4"/>
    <w:rsid w:val="003032B0"/>
    <w:rsid w:val="0030332C"/>
    <w:rsid w:val="003038CD"/>
    <w:rsid w:val="00304160"/>
    <w:rsid w:val="003046A1"/>
    <w:rsid w:val="00304B14"/>
    <w:rsid w:val="003051C2"/>
    <w:rsid w:val="003056A6"/>
    <w:rsid w:val="00305945"/>
    <w:rsid w:val="00305F0F"/>
    <w:rsid w:val="00306096"/>
    <w:rsid w:val="00310380"/>
    <w:rsid w:val="003105EA"/>
    <w:rsid w:val="0031202B"/>
    <w:rsid w:val="00312296"/>
    <w:rsid w:val="003124FA"/>
    <w:rsid w:val="00313435"/>
    <w:rsid w:val="00313D81"/>
    <w:rsid w:val="003146A1"/>
    <w:rsid w:val="00314B07"/>
    <w:rsid w:val="00314F0E"/>
    <w:rsid w:val="00315878"/>
    <w:rsid w:val="00315D70"/>
    <w:rsid w:val="00316546"/>
    <w:rsid w:val="003210A5"/>
    <w:rsid w:val="00321D8E"/>
    <w:rsid w:val="003230C8"/>
    <w:rsid w:val="0032317E"/>
    <w:rsid w:val="00323835"/>
    <w:rsid w:val="00325928"/>
    <w:rsid w:val="00325E55"/>
    <w:rsid w:val="00326F94"/>
    <w:rsid w:val="00327096"/>
    <w:rsid w:val="00327B26"/>
    <w:rsid w:val="00330637"/>
    <w:rsid w:val="00330E8B"/>
    <w:rsid w:val="00331A3A"/>
    <w:rsid w:val="00331F3D"/>
    <w:rsid w:val="00332863"/>
    <w:rsid w:val="00333CC8"/>
    <w:rsid w:val="00334686"/>
    <w:rsid w:val="00335C00"/>
    <w:rsid w:val="0033670A"/>
    <w:rsid w:val="0033684D"/>
    <w:rsid w:val="00336C94"/>
    <w:rsid w:val="00337B42"/>
    <w:rsid w:val="00337E60"/>
    <w:rsid w:val="003414E4"/>
    <w:rsid w:val="00341B42"/>
    <w:rsid w:val="003420D8"/>
    <w:rsid w:val="0034348F"/>
    <w:rsid w:val="00343EA4"/>
    <w:rsid w:val="003443CC"/>
    <w:rsid w:val="003467C0"/>
    <w:rsid w:val="00347AD9"/>
    <w:rsid w:val="00347F56"/>
    <w:rsid w:val="003510BA"/>
    <w:rsid w:val="003513BC"/>
    <w:rsid w:val="0035152A"/>
    <w:rsid w:val="00351EEA"/>
    <w:rsid w:val="00351F9C"/>
    <w:rsid w:val="003521FF"/>
    <w:rsid w:val="0035352B"/>
    <w:rsid w:val="003539A2"/>
    <w:rsid w:val="0035425B"/>
    <w:rsid w:val="00355AAF"/>
    <w:rsid w:val="00355BAB"/>
    <w:rsid w:val="00356386"/>
    <w:rsid w:val="003565DF"/>
    <w:rsid w:val="00356653"/>
    <w:rsid w:val="0035668C"/>
    <w:rsid w:val="003571C0"/>
    <w:rsid w:val="0035743F"/>
    <w:rsid w:val="003577D5"/>
    <w:rsid w:val="00357977"/>
    <w:rsid w:val="00357BE2"/>
    <w:rsid w:val="003606E8"/>
    <w:rsid w:val="00361239"/>
    <w:rsid w:val="0036170C"/>
    <w:rsid w:val="00362C35"/>
    <w:rsid w:val="0036357B"/>
    <w:rsid w:val="00363B1F"/>
    <w:rsid w:val="003652A6"/>
    <w:rsid w:val="00365EBD"/>
    <w:rsid w:val="00365FED"/>
    <w:rsid w:val="0036686D"/>
    <w:rsid w:val="00366E0F"/>
    <w:rsid w:val="00367D67"/>
    <w:rsid w:val="00370113"/>
    <w:rsid w:val="00374501"/>
    <w:rsid w:val="0037586D"/>
    <w:rsid w:val="00376D1E"/>
    <w:rsid w:val="00376F38"/>
    <w:rsid w:val="00381A72"/>
    <w:rsid w:val="00383F4A"/>
    <w:rsid w:val="00384676"/>
    <w:rsid w:val="003866CD"/>
    <w:rsid w:val="00390857"/>
    <w:rsid w:val="00392566"/>
    <w:rsid w:val="00392815"/>
    <w:rsid w:val="00392DB4"/>
    <w:rsid w:val="00392F8E"/>
    <w:rsid w:val="003934BE"/>
    <w:rsid w:val="00394909"/>
    <w:rsid w:val="0039544A"/>
    <w:rsid w:val="00395728"/>
    <w:rsid w:val="00395E77"/>
    <w:rsid w:val="00396E81"/>
    <w:rsid w:val="0039738C"/>
    <w:rsid w:val="003A0762"/>
    <w:rsid w:val="003A1222"/>
    <w:rsid w:val="003A3BF2"/>
    <w:rsid w:val="003A3CB3"/>
    <w:rsid w:val="003A410F"/>
    <w:rsid w:val="003A41EA"/>
    <w:rsid w:val="003A4295"/>
    <w:rsid w:val="003A4BF3"/>
    <w:rsid w:val="003A5C16"/>
    <w:rsid w:val="003A6D0D"/>
    <w:rsid w:val="003A71E0"/>
    <w:rsid w:val="003A7C52"/>
    <w:rsid w:val="003B07C6"/>
    <w:rsid w:val="003B2BA4"/>
    <w:rsid w:val="003B420D"/>
    <w:rsid w:val="003B56BE"/>
    <w:rsid w:val="003B5D53"/>
    <w:rsid w:val="003B605C"/>
    <w:rsid w:val="003B648D"/>
    <w:rsid w:val="003B7F52"/>
    <w:rsid w:val="003C1FF6"/>
    <w:rsid w:val="003C2E37"/>
    <w:rsid w:val="003C3360"/>
    <w:rsid w:val="003C3CE2"/>
    <w:rsid w:val="003C3F6B"/>
    <w:rsid w:val="003C69DD"/>
    <w:rsid w:val="003C6C16"/>
    <w:rsid w:val="003D09B1"/>
    <w:rsid w:val="003D18D6"/>
    <w:rsid w:val="003D3166"/>
    <w:rsid w:val="003D399B"/>
    <w:rsid w:val="003D4C2F"/>
    <w:rsid w:val="003D5294"/>
    <w:rsid w:val="003D55B7"/>
    <w:rsid w:val="003D6F8D"/>
    <w:rsid w:val="003D7721"/>
    <w:rsid w:val="003D794D"/>
    <w:rsid w:val="003D7C0B"/>
    <w:rsid w:val="003E03D6"/>
    <w:rsid w:val="003E2623"/>
    <w:rsid w:val="003E29BA"/>
    <w:rsid w:val="003E3058"/>
    <w:rsid w:val="003E38B5"/>
    <w:rsid w:val="003E3EDE"/>
    <w:rsid w:val="003E6E28"/>
    <w:rsid w:val="003E76A9"/>
    <w:rsid w:val="003E7CE7"/>
    <w:rsid w:val="003F07B0"/>
    <w:rsid w:val="003F0809"/>
    <w:rsid w:val="003F0895"/>
    <w:rsid w:val="003F216C"/>
    <w:rsid w:val="003F2304"/>
    <w:rsid w:val="003F2BF2"/>
    <w:rsid w:val="003F53A4"/>
    <w:rsid w:val="003F5426"/>
    <w:rsid w:val="003F5CFA"/>
    <w:rsid w:val="003F6147"/>
    <w:rsid w:val="003F6A8C"/>
    <w:rsid w:val="003F7145"/>
    <w:rsid w:val="003F755C"/>
    <w:rsid w:val="003F7848"/>
    <w:rsid w:val="0040089F"/>
    <w:rsid w:val="004014E7"/>
    <w:rsid w:val="00401632"/>
    <w:rsid w:val="00401C4E"/>
    <w:rsid w:val="00402255"/>
    <w:rsid w:val="0040374C"/>
    <w:rsid w:val="0040561B"/>
    <w:rsid w:val="00406651"/>
    <w:rsid w:val="004067DF"/>
    <w:rsid w:val="00406BC5"/>
    <w:rsid w:val="00406F01"/>
    <w:rsid w:val="00407326"/>
    <w:rsid w:val="004116A4"/>
    <w:rsid w:val="00411D97"/>
    <w:rsid w:val="00412D89"/>
    <w:rsid w:val="00412F46"/>
    <w:rsid w:val="00413F61"/>
    <w:rsid w:val="0041406F"/>
    <w:rsid w:val="00415296"/>
    <w:rsid w:val="00415CD7"/>
    <w:rsid w:val="00416D50"/>
    <w:rsid w:val="00416FD5"/>
    <w:rsid w:val="00417772"/>
    <w:rsid w:val="00420E6A"/>
    <w:rsid w:val="004214D1"/>
    <w:rsid w:val="0042303B"/>
    <w:rsid w:val="00423E02"/>
    <w:rsid w:val="004240E7"/>
    <w:rsid w:val="004257F1"/>
    <w:rsid w:val="00425A9E"/>
    <w:rsid w:val="0042686C"/>
    <w:rsid w:val="00426D6B"/>
    <w:rsid w:val="00430134"/>
    <w:rsid w:val="004311B4"/>
    <w:rsid w:val="00431B4F"/>
    <w:rsid w:val="00431E6C"/>
    <w:rsid w:val="004324CA"/>
    <w:rsid w:val="00432534"/>
    <w:rsid w:val="00433023"/>
    <w:rsid w:val="0043339E"/>
    <w:rsid w:val="00433CE7"/>
    <w:rsid w:val="00435111"/>
    <w:rsid w:val="004359C7"/>
    <w:rsid w:val="004359EA"/>
    <w:rsid w:val="00441A36"/>
    <w:rsid w:val="0044306C"/>
    <w:rsid w:val="00443558"/>
    <w:rsid w:val="00445F48"/>
    <w:rsid w:val="0044659A"/>
    <w:rsid w:val="004512A9"/>
    <w:rsid w:val="004524C6"/>
    <w:rsid w:val="00452738"/>
    <w:rsid w:val="004544CB"/>
    <w:rsid w:val="004554A6"/>
    <w:rsid w:val="00455662"/>
    <w:rsid w:val="00455C03"/>
    <w:rsid w:val="00456091"/>
    <w:rsid w:val="00457734"/>
    <w:rsid w:val="0046084B"/>
    <w:rsid w:val="00462574"/>
    <w:rsid w:val="004628E9"/>
    <w:rsid w:val="00463583"/>
    <w:rsid w:val="00463EAA"/>
    <w:rsid w:val="00463F24"/>
    <w:rsid w:val="0046402C"/>
    <w:rsid w:val="00465B30"/>
    <w:rsid w:val="00466321"/>
    <w:rsid w:val="004671FE"/>
    <w:rsid w:val="00467AE0"/>
    <w:rsid w:val="004711E9"/>
    <w:rsid w:val="0047251C"/>
    <w:rsid w:val="00472868"/>
    <w:rsid w:val="00473560"/>
    <w:rsid w:val="00474118"/>
    <w:rsid w:val="004747D1"/>
    <w:rsid w:val="0047584C"/>
    <w:rsid w:val="004761F4"/>
    <w:rsid w:val="00476575"/>
    <w:rsid w:val="00476AB0"/>
    <w:rsid w:val="00477A61"/>
    <w:rsid w:val="00477EFC"/>
    <w:rsid w:val="0048044C"/>
    <w:rsid w:val="00480CAA"/>
    <w:rsid w:val="004816C8"/>
    <w:rsid w:val="00481BE9"/>
    <w:rsid w:val="004833DA"/>
    <w:rsid w:val="004841D5"/>
    <w:rsid w:val="00484B9B"/>
    <w:rsid w:val="004855F6"/>
    <w:rsid w:val="0048661E"/>
    <w:rsid w:val="00486E64"/>
    <w:rsid w:val="00490586"/>
    <w:rsid w:val="00490F71"/>
    <w:rsid w:val="00492CDE"/>
    <w:rsid w:val="00492F9F"/>
    <w:rsid w:val="004934CE"/>
    <w:rsid w:val="00494670"/>
    <w:rsid w:val="004949BF"/>
    <w:rsid w:val="00494BD4"/>
    <w:rsid w:val="00494CD8"/>
    <w:rsid w:val="00496842"/>
    <w:rsid w:val="00497064"/>
    <w:rsid w:val="004A202B"/>
    <w:rsid w:val="004A2EA3"/>
    <w:rsid w:val="004A3823"/>
    <w:rsid w:val="004A416D"/>
    <w:rsid w:val="004A43F0"/>
    <w:rsid w:val="004A5A93"/>
    <w:rsid w:val="004A611D"/>
    <w:rsid w:val="004A626E"/>
    <w:rsid w:val="004A6433"/>
    <w:rsid w:val="004A7811"/>
    <w:rsid w:val="004B08E5"/>
    <w:rsid w:val="004B1CD4"/>
    <w:rsid w:val="004B26F8"/>
    <w:rsid w:val="004B3497"/>
    <w:rsid w:val="004B366D"/>
    <w:rsid w:val="004B3A32"/>
    <w:rsid w:val="004B5D41"/>
    <w:rsid w:val="004B7C41"/>
    <w:rsid w:val="004C21A2"/>
    <w:rsid w:val="004C2315"/>
    <w:rsid w:val="004C279C"/>
    <w:rsid w:val="004C351C"/>
    <w:rsid w:val="004C59C8"/>
    <w:rsid w:val="004C6419"/>
    <w:rsid w:val="004C7083"/>
    <w:rsid w:val="004D17EE"/>
    <w:rsid w:val="004D18FE"/>
    <w:rsid w:val="004D2452"/>
    <w:rsid w:val="004D32CB"/>
    <w:rsid w:val="004D429A"/>
    <w:rsid w:val="004D47E6"/>
    <w:rsid w:val="004D5291"/>
    <w:rsid w:val="004D61F2"/>
    <w:rsid w:val="004D6FA9"/>
    <w:rsid w:val="004D7E7D"/>
    <w:rsid w:val="004E1B20"/>
    <w:rsid w:val="004E3C16"/>
    <w:rsid w:val="004E53D7"/>
    <w:rsid w:val="004E62AF"/>
    <w:rsid w:val="004E6742"/>
    <w:rsid w:val="004E685D"/>
    <w:rsid w:val="004E6946"/>
    <w:rsid w:val="004E6C45"/>
    <w:rsid w:val="004E7D18"/>
    <w:rsid w:val="004F0FC0"/>
    <w:rsid w:val="004F1059"/>
    <w:rsid w:val="004F11AC"/>
    <w:rsid w:val="004F1AD8"/>
    <w:rsid w:val="004F2698"/>
    <w:rsid w:val="004F2C3F"/>
    <w:rsid w:val="004F3151"/>
    <w:rsid w:val="004F3261"/>
    <w:rsid w:val="004F51AF"/>
    <w:rsid w:val="004F5979"/>
    <w:rsid w:val="0050007B"/>
    <w:rsid w:val="00500274"/>
    <w:rsid w:val="00500597"/>
    <w:rsid w:val="00502656"/>
    <w:rsid w:val="00502B55"/>
    <w:rsid w:val="005039CB"/>
    <w:rsid w:val="00503E22"/>
    <w:rsid w:val="00504126"/>
    <w:rsid w:val="00504B80"/>
    <w:rsid w:val="0050558F"/>
    <w:rsid w:val="00505FD5"/>
    <w:rsid w:val="00506286"/>
    <w:rsid w:val="00507139"/>
    <w:rsid w:val="0050778D"/>
    <w:rsid w:val="005103AB"/>
    <w:rsid w:val="00510813"/>
    <w:rsid w:val="005113BA"/>
    <w:rsid w:val="00511990"/>
    <w:rsid w:val="00511DE0"/>
    <w:rsid w:val="0051391D"/>
    <w:rsid w:val="00513966"/>
    <w:rsid w:val="00514499"/>
    <w:rsid w:val="00514870"/>
    <w:rsid w:val="00514B9B"/>
    <w:rsid w:val="0051726B"/>
    <w:rsid w:val="00517B9F"/>
    <w:rsid w:val="00517F02"/>
    <w:rsid w:val="005200BD"/>
    <w:rsid w:val="00521B9E"/>
    <w:rsid w:val="0052249C"/>
    <w:rsid w:val="00522771"/>
    <w:rsid w:val="005239BE"/>
    <w:rsid w:val="00524303"/>
    <w:rsid w:val="00524BB1"/>
    <w:rsid w:val="005258A2"/>
    <w:rsid w:val="00525D2A"/>
    <w:rsid w:val="00526DF2"/>
    <w:rsid w:val="00527585"/>
    <w:rsid w:val="005301DA"/>
    <w:rsid w:val="00532CE6"/>
    <w:rsid w:val="0053512E"/>
    <w:rsid w:val="005360CC"/>
    <w:rsid w:val="005401AE"/>
    <w:rsid w:val="0054054C"/>
    <w:rsid w:val="00540C11"/>
    <w:rsid w:val="00541D91"/>
    <w:rsid w:val="00542E07"/>
    <w:rsid w:val="00543FFF"/>
    <w:rsid w:val="00545424"/>
    <w:rsid w:val="00546032"/>
    <w:rsid w:val="00546476"/>
    <w:rsid w:val="00550D5E"/>
    <w:rsid w:val="00551E94"/>
    <w:rsid w:val="00553152"/>
    <w:rsid w:val="00553A51"/>
    <w:rsid w:val="0055404A"/>
    <w:rsid w:val="00554A7B"/>
    <w:rsid w:val="00554E37"/>
    <w:rsid w:val="00555460"/>
    <w:rsid w:val="0055572C"/>
    <w:rsid w:val="00555B03"/>
    <w:rsid w:val="00555EA0"/>
    <w:rsid w:val="0055637E"/>
    <w:rsid w:val="0055667F"/>
    <w:rsid w:val="00560934"/>
    <w:rsid w:val="00560970"/>
    <w:rsid w:val="0056106A"/>
    <w:rsid w:val="00561990"/>
    <w:rsid w:val="005621E2"/>
    <w:rsid w:val="00562CFB"/>
    <w:rsid w:val="00563835"/>
    <w:rsid w:val="005638F2"/>
    <w:rsid w:val="005645B3"/>
    <w:rsid w:val="0056551E"/>
    <w:rsid w:val="00566838"/>
    <w:rsid w:val="00566A76"/>
    <w:rsid w:val="005720AE"/>
    <w:rsid w:val="00572633"/>
    <w:rsid w:val="00572910"/>
    <w:rsid w:val="005729C4"/>
    <w:rsid w:val="0057328C"/>
    <w:rsid w:val="00573E9F"/>
    <w:rsid w:val="00574B3B"/>
    <w:rsid w:val="00576080"/>
    <w:rsid w:val="005778A8"/>
    <w:rsid w:val="00580514"/>
    <w:rsid w:val="00580A22"/>
    <w:rsid w:val="00582D5C"/>
    <w:rsid w:val="0058370F"/>
    <w:rsid w:val="005839C6"/>
    <w:rsid w:val="0058449E"/>
    <w:rsid w:val="0058659D"/>
    <w:rsid w:val="005870F7"/>
    <w:rsid w:val="00587DF0"/>
    <w:rsid w:val="00590478"/>
    <w:rsid w:val="005934C6"/>
    <w:rsid w:val="00594D77"/>
    <w:rsid w:val="005958D9"/>
    <w:rsid w:val="00595B2B"/>
    <w:rsid w:val="00596788"/>
    <w:rsid w:val="005969E4"/>
    <w:rsid w:val="00596A97"/>
    <w:rsid w:val="00596FAB"/>
    <w:rsid w:val="005A06B7"/>
    <w:rsid w:val="005A1408"/>
    <w:rsid w:val="005A1759"/>
    <w:rsid w:val="005A1CCE"/>
    <w:rsid w:val="005A26A6"/>
    <w:rsid w:val="005A404A"/>
    <w:rsid w:val="005A435A"/>
    <w:rsid w:val="005A5263"/>
    <w:rsid w:val="005A68A7"/>
    <w:rsid w:val="005A7678"/>
    <w:rsid w:val="005A76E8"/>
    <w:rsid w:val="005A7ED7"/>
    <w:rsid w:val="005B1679"/>
    <w:rsid w:val="005B1681"/>
    <w:rsid w:val="005B1F6A"/>
    <w:rsid w:val="005B2183"/>
    <w:rsid w:val="005B44ED"/>
    <w:rsid w:val="005B49C5"/>
    <w:rsid w:val="005B513E"/>
    <w:rsid w:val="005B6ADB"/>
    <w:rsid w:val="005B7DB9"/>
    <w:rsid w:val="005C06C4"/>
    <w:rsid w:val="005C25D6"/>
    <w:rsid w:val="005C2705"/>
    <w:rsid w:val="005C66BA"/>
    <w:rsid w:val="005C67E8"/>
    <w:rsid w:val="005C74BB"/>
    <w:rsid w:val="005C7C71"/>
    <w:rsid w:val="005D0715"/>
    <w:rsid w:val="005D1EC0"/>
    <w:rsid w:val="005D2410"/>
    <w:rsid w:val="005D2CE1"/>
    <w:rsid w:val="005D2FF3"/>
    <w:rsid w:val="005D36AB"/>
    <w:rsid w:val="005D5010"/>
    <w:rsid w:val="005D6ABA"/>
    <w:rsid w:val="005D721A"/>
    <w:rsid w:val="005D76C4"/>
    <w:rsid w:val="005D7E6D"/>
    <w:rsid w:val="005E29C9"/>
    <w:rsid w:val="005E581C"/>
    <w:rsid w:val="005E58AC"/>
    <w:rsid w:val="005F078D"/>
    <w:rsid w:val="005F0B73"/>
    <w:rsid w:val="005F17AE"/>
    <w:rsid w:val="005F25F8"/>
    <w:rsid w:val="005F2B25"/>
    <w:rsid w:val="005F2ECA"/>
    <w:rsid w:val="005F37E5"/>
    <w:rsid w:val="005F5969"/>
    <w:rsid w:val="005F72A6"/>
    <w:rsid w:val="0060055E"/>
    <w:rsid w:val="00604D0B"/>
    <w:rsid w:val="006062DA"/>
    <w:rsid w:val="00606363"/>
    <w:rsid w:val="0061006C"/>
    <w:rsid w:val="00610A0E"/>
    <w:rsid w:val="00610E88"/>
    <w:rsid w:val="006112EE"/>
    <w:rsid w:val="00611631"/>
    <w:rsid w:val="0061461D"/>
    <w:rsid w:val="00614B64"/>
    <w:rsid w:val="00615CDB"/>
    <w:rsid w:val="00617CC3"/>
    <w:rsid w:val="006201FC"/>
    <w:rsid w:val="00620783"/>
    <w:rsid w:val="00621A23"/>
    <w:rsid w:val="00621A71"/>
    <w:rsid w:val="00621FA1"/>
    <w:rsid w:val="00622594"/>
    <w:rsid w:val="00623B28"/>
    <w:rsid w:val="0062572B"/>
    <w:rsid w:val="00626147"/>
    <w:rsid w:val="00626546"/>
    <w:rsid w:val="0062792F"/>
    <w:rsid w:val="00630306"/>
    <w:rsid w:val="00632EA5"/>
    <w:rsid w:val="00633079"/>
    <w:rsid w:val="0063418F"/>
    <w:rsid w:val="006348E9"/>
    <w:rsid w:val="006359D7"/>
    <w:rsid w:val="006377A6"/>
    <w:rsid w:val="00637A3D"/>
    <w:rsid w:val="00640285"/>
    <w:rsid w:val="006406EA"/>
    <w:rsid w:val="006411EF"/>
    <w:rsid w:val="00641651"/>
    <w:rsid w:val="0064223D"/>
    <w:rsid w:val="006451F7"/>
    <w:rsid w:val="006457BA"/>
    <w:rsid w:val="00645BFA"/>
    <w:rsid w:val="0064632B"/>
    <w:rsid w:val="006475EC"/>
    <w:rsid w:val="006510A2"/>
    <w:rsid w:val="0065145E"/>
    <w:rsid w:val="006514AF"/>
    <w:rsid w:val="006522B3"/>
    <w:rsid w:val="00652C87"/>
    <w:rsid w:val="00657682"/>
    <w:rsid w:val="00660422"/>
    <w:rsid w:val="00660B56"/>
    <w:rsid w:val="00660F2C"/>
    <w:rsid w:val="00661C5A"/>
    <w:rsid w:val="00662BB6"/>
    <w:rsid w:val="00662DE4"/>
    <w:rsid w:val="00666290"/>
    <w:rsid w:val="00667252"/>
    <w:rsid w:val="00671147"/>
    <w:rsid w:val="006723AA"/>
    <w:rsid w:val="006730D3"/>
    <w:rsid w:val="006738AD"/>
    <w:rsid w:val="006748B8"/>
    <w:rsid w:val="00674BBB"/>
    <w:rsid w:val="00675FFA"/>
    <w:rsid w:val="00676B97"/>
    <w:rsid w:val="006775C3"/>
    <w:rsid w:val="00681088"/>
    <w:rsid w:val="00681C0B"/>
    <w:rsid w:val="006827EE"/>
    <w:rsid w:val="00682D94"/>
    <w:rsid w:val="006848B4"/>
    <w:rsid w:val="00685E2E"/>
    <w:rsid w:val="00686223"/>
    <w:rsid w:val="00686874"/>
    <w:rsid w:val="00687512"/>
    <w:rsid w:val="00687779"/>
    <w:rsid w:val="00687F70"/>
    <w:rsid w:val="006905E5"/>
    <w:rsid w:val="0069290A"/>
    <w:rsid w:val="00692C41"/>
    <w:rsid w:val="006932A8"/>
    <w:rsid w:val="00693B44"/>
    <w:rsid w:val="00696C68"/>
    <w:rsid w:val="0069775A"/>
    <w:rsid w:val="00697813"/>
    <w:rsid w:val="00697820"/>
    <w:rsid w:val="006A0623"/>
    <w:rsid w:val="006A1A19"/>
    <w:rsid w:val="006A2030"/>
    <w:rsid w:val="006A30C2"/>
    <w:rsid w:val="006A3EE8"/>
    <w:rsid w:val="006A65B0"/>
    <w:rsid w:val="006A72BF"/>
    <w:rsid w:val="006B03F2"/>
    <w:rsid w:val="006B1964"/>
    <w:rsid w:val="006B2374"/>
    <w:rsid w:val="006B2C9D"/>
    <w:rsid w:val="006B37DC"/>
    <w:rsid w:val="006B3E67"/>
    <w:rsid w:val="006B4F68"/>
    <w:rsid w:val="006B639F"/>
    <w:rsid w:val="006B6E8D"/>
    <w:rsid w:val="006C0420"/>
    <w:rsid w:val="006C0592"/>
    <w:rsid w:val="006C202F"/>
    <w:rsid w:val="006C272E"/>
    <w:rsid w:val="006C5479"/>
    <w:rsid w:val="006C68D2"/>
    <w:rsid w:val="006C74C3"/>
    <w:rsid w:val="006D13B5"/>
    <w:rsid w:val="006D195F"/>
    <w:rsid w:val="006D24C0"/>
    <w:rsid w:val="006D282D"/>
    <w:rsid w:val="006D2DDF"/>
    <w:rsid w:val="006D382A"/>
    <w:rsid w:val="006D4F0F"/>
    <w:rsid w:val="006D6A91"/>
    <w:rsid w:val="006D7AC8"/>
    <w:rsid w:val="006E12FF"/>
    <w:rsid w:val="006E1C31"/>
    <w:rsid w:val="006E237C"/>
    <w:rsid w:val="006E2761"/>
    <w:rsid w:val="006E33DC"/>
    <w:rsid w:val="006E3AA2"/>
    <w:rsid w:val="006E43A9"/>
    <w:rsid w:val="006E5530"/>
    <w:rsid w:val="006E607E"/>
    <w:rsid w:val="006E6146"/>
    <w:rsid w:val="006E7848"/>
    <w:rsid w:val="006F0634"/>
    <w:rsid w:val="006F11C1"/>
    <w:rsid w:val="006F25A4"/>
    <w:rsid w:val="006F2CAB"/>
    <w:rsid w:val="006F4C28"/>
    <w:rsid w:val="00700106"/>
    <w:rsid w:val="00703AC6"/>
    <w:rsid w:val="00705C57"/>
    <w:rsid w:val="00706C5D"/>
    <w:rsid w:val="0070736B"/>
    <w:rsid w:val="0070793A"/>
    <w:rsid w:val="00707EBA"/>
    <w:rsid w:val="00707F68"/>
    <w:rsid w:val="00710870"/>
    <w:rsid w:val="00710B50"/>
    <w:rsid w:val="00711224"/>
    <w:rsid w:val="00711391"/>
    <w:rsid w:val="00711593"/>
    <w:rsid w:val="00712F27"/>
    <w:rsid w:val="0071368E"/>
    <w:rsid w:val="00714D1F"/>
    <w:rsid w:val="00715309"/>
    <w:rsid w:val="00716980"/>
    <w:rsid w:val="00716EBE"/>
    <w:rsid w:val="00717551"/>
    <w:rsid w:val="00720CB3"/>
    <w:rsid w:val="00721EB4"/>
    <w:rsid w:val="007224AB"/>
    <w:rsid w:val="00722CA7"/>
    <w:rsid w:val="00724190"/>
    <w:rsid w:val="00725D3F"/>
    <w:rsid w:val="00726051"/>
    <w:rsid w:val="007267BC"/>
    <w:rsid w:val="00726DF4"/>
    <w:rsid w:val="00727A8C"/>
    <w:rsid w:val="00732922"/>
    <w:rsid w:val="00733EA1"/>
    <w:rsid w:val="00737C07"/>
    <w:rsid w:val="00737F9B"/>
    <w:rsid w:val="00740C3C"/>
    <w:rsid w:val="00742352"/>
    <w:rsid w:val="007426E4"/>
    <w:rsid w:val="00742F76"/>
    <w:rsid w:val="0074341E"/>
    <w:rsid w:val="00743D43"/>
    <w:rsid w:val="0074472B"/>
    <w:rsid w:val="00744B4D"/>
    <w:rsid w:val="007468EA"/>
    <w:rsid w:val="00747A70"/>
    <w:rsid w:val="00747DB3"/>
    <w:rsid w:val="007501A8"/>
    <w:rsid w:val="007506AF"/>
    <w:rsid w:val="0075162E"/>
    <w:rsid w:val="00752B91"/>
    <w:rsid w:val="007539F9"/>
    <w:rsid w:val="00753CF0"/>
    <w:rsid w:val="00753F6A"/>
    <w:rsid w:val="00754034"/>
    <w:rsid w:val="007540CF"/>
    <w:rsid w:val="0075514F"/>
    <w:rsid w:val="00756556"/>
    <w:rsid w:val="007577EB"/>
    <w:rsid w:val="007609DE"/>
    <w:rsid w:val="00760C10"/>
    <w:rsid w:val="00760C57"/>
    <w:rsid w:val="00761337"/>
    <w:rsid w:val="007618C4"/>
    <w:rsid w:val="007620DE"/>
    <w:rsid w:val="00763807"/>
    <w:rsid w:val="007639C5"/>
    <w:rsid w:val="0076423C"/>
    <w:rsid w:val="00764334"/>
    <w:rsid w:val="00764963"/>
    <w:rsid w:val="00764AFE"/>
    <w:rsid w:val="00765C18"/>
    <w:rsid w:val="007673FF"/>
    <w:rsid w:val="00767980"/>
    <w:rsid w:val="00770B19"/>
    <w:rsid w:val="00772CD0"/>
    <w:rsid w:val="0077463F"/>
    <w:rsid w:val="007751D4"/>
    <w:rsid w:val="00775594"/>
    <w:rsid w:val="007760AD"/>
    <w:rsid w:val="007766E4"/>
    <w:rsid w:val="00776DB0"/>
    <w:rsid w:val="00780973"/>
    <w:rsid w:val="00780C13"/>
    <w:rsid w:val="007810C7"/>
    <w:rsid w:val="00781D3E"/>
    <w:rsid w:val="00782F13"/>
    <w:rsid w:val="007836EA"/>
    <w:rsid w:val="00784CDA"/>
    <w:rsid w:val="00784CFB"/>
    <w:rsid w:val="00785C3B"/>
    <w:rsid w:val="007861CA"/>
    <w:rsid w:val="007862DA"/>
    <w:rsid w:val="0078647C"/>
    <w:rsid w:val="007871FE"/>
    <w:rsid w:val="007906C4"/>
    <w:rsid w:val="00792CC5"/>
    <w:rsid w:val="007935BA"/>
    <w:rsid w:val="007940EA"/>
    <w:rsid w:val="007967E8"/>
    <w:rsid w:val="00797442"/>
    <w:rsid w:val="00797E57"/>
    <w:rsid w:val="007A09DC"/>
    <w:rsid w:val="007A16EE"/>
    <w:rsid w:val="007A2170"/>
    <w:rsid w:val="007A22BF"/>
    <w:rsid w:val="007A2439"/>
    <w:rsid w:val="007A28DD"/>
    <w:rsid w:val="007A3323"/>
    <w:rsid w:val="007A6366"/>
    <w:rsid w:val="007A7B05"/>
    <w:rsid w:val="007A7FC3"/>
    <w:rsid w:val="007B03F6"/>
    <w:rsid w:val="007B0A78"/>
    <w:rsid w:val="007B1D4C"/>
    <w:rsid w:val="007B1E9C"/>
    <w:rsid w:val="007B288B"/>
    <w:rsid w:val="007B3182"/>
    <w:rsid w:val="007B5EAA"/>
    <w:rsid w:val="007B678D"/>
    <w:rsid w:val="007B6ED5"/>
    <w:rsid w:val="007B72B8"/>
    <w:rsid w:val="007B7A58"/>
    <w:rsid w:val="007B7B27"/>
    <w:rsid w:val="007C08B7"/>
    <w:rsid w:val="007C0E87"/>
    <w:rsid w:val="007C1137"/>
    <w:rsid w:val="007C21B5"/>
    <w:rsid w:val="007C25A4"/>
    <w:rsid w:val="007C2BC2"/>
    <w:rsid w:val="007C2D79"/>
    <w:rsid w:val="007C4441"/>
    <w:rsid w:val="007C5BFE"/>
    <w:rsid w:val="007C5F32"/>
    <w:rsid w:val="007C71FB"/>
    <w:rsid w:val="007C7E2B"/>
    <w:rsid w:val="007D1A42"/>
    <w:rsid w:val="007D21F9"/>
    <w:rsid w:val="007D55C9"/>
    <w:rsid w:val="007E037A"/>
    <w:rsid w:val="007E2219"/>
    <w:rsid w:val="007E2835"/>
    <w:rsid w:val="007E30E8"/>
    <w:rsid w:val="007E4BD2"/>
    <w:rsid w:val="007E50E3"/>
    <w:rsid w:val="007E54D9"/>
    <w:rsid w:val="007E6C7C"/>
    <w:rsid w:val="007F0835"/>
    <w:rsid w:val="007F10D8"/>
    <w:rsid w:val="007F30CC"/>
    <w:rsid w:val="007F3382"/>
    <w:rsid w:val="007F3D90"/>
    <w:rsid w:val="007F3DB7"/>
    <w:rsid w:val="007F4043"/>
    <w:rsid w:val="007F480E"/>
    <w:rsid w:val="007F5549"/>
    <w:rsid w:val="007F69E9"/>
    <w:rsid w:val="00800888"/>
    <w:rsid w:val="00801393"/>
    <w:rsid w:val="0080268E"/>
    <w:rsid w:val="00802F88"/>
    <w:rsid w:val="0080327F"/>
    <w:rsid w:val="00803518"/>
    <w:rsid w:val="00806040"/>
    <w:rsid w:val="00807877"/>
    <w:rsid w:val="008109C2"/>
    <w:rsid w:val="00811515"/>
    <w:rsid w:val="00811724"/>
    <w:rsid w:val="0081293E"/>
    <w:rsid w:val="008129C6"/>
    <w:rsid w:val="00812E35"/>
    <w:rsid w:val="00813156"/>
    <w:rsid w:val="00815465"/>
    <w:rsid w:val="008168ED"/>
    <w:rsid w:val="00817654"/>
    <w:rsid w:val="00817E9A"/>
    <w:rsid w:val="00820016"/>
    <w:rsid w:val="00820279"/>
    <w:rsid w:val="008205F2"/>
    <w:rsid w:val="008210B3"/>
    <w:rsid w:val="00821AD5"/>
    <w:rsid w:val="00821C86"/>
    <w:rsid w:val="00823242"/>
    <w:rsid w:val="0082497D"/>
    <w:rsid w:val="00824BE0"/>
    <w:rsid w:val="008257AA"/>
    <w:rsid w:val="008306BD"/>
    <w:rsid w:val="00831861"/>
    <w:rsid w:val="00831A80"/>
    <w:rsid w:val="008323AD"/>
    <w:rsid w:val="00832921"/>
    <w:rsid w:val="00832FFF"/>
    <w:rsid w:val="00833743"/>
    <w:rsid w:val="00833C83"/>
    <w:rsid w:val="008340A4"/>
    <w:rsid w:val="008344EB"/>
    <w:rsid w:val="0083482E"/>
    <w:rsid w:val="00840039"/>
    <w:rsid w:val="008407B7"/>
    <w:rsid w:val="0084181E"/>
    <w:rsid w:val="00841ED5"/>
    <w:rsid w:val="008457A1"/>
    <w:rsid w:val="00846046"/>
    <w:rsid w:val="008471B0"/>
    <w:rsid w:val="00847209"/>
    <w:rsid w:val="00850C97"/>
    <w:rsid w:val="00851C13"/>
    <w:rsid w:val="00851E29"/>
    <w:rsid w:val="008535C5"/>
    <w:rsid w:val="00853E64"/>
    <w:rsid w:val="0085475B"/>
    <w:rsid w:val="00854BAD"/>
    <w:rsid w:val="00856046"/>
    <w:rsid w:val="00857EA2"/>
    <w:rsid w:val="0086006A"/>
    <w:rsid w:val="00860672"/>
    <w:rsid w:val="008615C9"/>
    <w:rsid w:val="008617DA"/>
    <w:rsid w:val="00861F7A"/>
    <w:rsid w:val="0086269A"/>
    <w:rsid w:val="00862FDF"/>
    <w:rsid w:val="008657E0"/>
    <w:rsid w:val="00865813"/>
    <w:rsid w:val="00866087"/>
    <w:rsid w:val="0087061F"/>
    <w:rsid w:val="0087135F"/>
    <w:rsid w:val="00871A22"/>
    <w:rsid w:val="00872AF7"/>
    <w:rsid w:val="00872D94"/>
    <w:rsid w:val="00874035"/>
    <w:rsid w:val="008746F1"/>
    <w:rsid w:val="008747E2"/>
    <w:rsid w:val="00874E47"/>
    <w:rsid w:val="00874F39"/>
    <w:rsid w:val="0087502B"/>
    <w:rsid w:val="00876143"/>
    <w:rsid w:val="00877ECB"/>
    <w:rsid w:val="00880364"/>
    <w:rsid w:val="008816A8"/>
    <w:rsid w:val="00881E48"/>
    <w:rsid w:val="00882486"/>
    <w:rsid w:val="00884A73"/>
    <w:rsid w:val="00885E8C"/>
    <w:rsid w:val="00886300"/>
    <w:rsid w:val="00886A6F"/>
    <w:rsid w:val="00887487"/>
    <w:rsid w:val="00887882"/>
    <w:rsid w:val="008901AF"/>
    <w:rsid w:val="00890C14"/>
    <w:rsid w:val="00891592"/>
    <w:rsid w:val="00891E9E"/>
    <w:rsid w:val="008924B0"/>
    <w:rsid w:val="008925CE"/>
    <w:rsid w:val="00893FAB"/>
    <w:rsid w:val="00894717"/>
    <w:rsid w:val="0089477E"/>
    <w:rsid w:val="008951B8"/>
    <w:rsid w:val="00896122"/>
    <w:rsid w:val="00896F42"/>
    <w:rsid w:val="008A01B5"/>
    <w:rsid w:val="008A1AC7"/>
    <w:rsid w:val="008A1E28"/>
    <w:rsid w:val="008A266F"/>
    <w:rsid w:val="008A29B5"/>
    <w:rsid w:val="008A2BF2"/>
    <w:rsid w:val="008A2F68"/>
    <w:rsid w:val="008A32B4"/>
    <w:rsid w:val="008A4329"/>
    <w:rsid w:val="008A527B"/>
    <w:rsid w:val="008A59C3"/>
    <w:rsid w:val="008A5AE6"/>
    <w:rsid w:val="008A61AB"/>
    <w:rsid w:val="008A6DD0"/>
    <w:rsid w:val="008A73DE"/>
    <w:rsid w:val="008A7F53"/>
    <w:rsid w:val="008B0CF7"/>
    <w:rsid w:val="008B2148"/>
    <w:rsid w:val="008B4D6E"/>
    <w:rsid w:val="008B4E46"/>
    <w:rsid w:val="008B4EC9"/>
    <w:rsid w:val="008B4FA6"/>
    <w:rsid w:val="008B51DA"/>
    <w:rsid w:val="008B5282"/>
    <w:rsid w:val="008B7C16"/>
    <w:rsid w:val="008B7C17"/>
    <w:rsid w:val="008C0BE5"/>
    <w:rsid w:val="008C11C1"/>
    <w:rsid w:val="008C2599"/>
    <w:rsid w:val="008C2D01"/>
    <w:rsid w:val="008C40A9"/>
    <w:rsid w:val="008C40E6"/>
    <w:rsid w:val="008C41F1"/>
    <w:rsid w:val="008C4555"/>
    <w:rsid w:val="008C52EC"/>
    <w:rsid w:val="008C6D33"/>
    <w:rsid w:val="008C7B57"/>
    <w:rsid w:val="008D09D6"/>
    <w:rsid w:val="008D0BDC"/>
    <w:rsid w:val="008D0C5B"/>
    <w:rsid w:val="008D0F7A"/>
    <w:rsid w:val="008D2929"/>
    <w:rsid w:val="008D311E"/>
    <w:rsid w:val="008D42D1"/>
    <w:rsid w:val="008D42EE"/>
    <w:rsid w:val="008D512C"/>
    <w:rsid w:val="008D52E8"/>
    <w:rsid w:val="008D557A"/>
    <w:rsid w:val="008D68E4"/>
    <w:rsid w:val="008D6B42"/>
    <w:rsid w:val="008D71B7"/>
    <w:rsid w:val="008E0506"/>
    <w:rsid w:val="008E0CFF"/>
    <w:rsid w:val="008E133E"/>
    <w:rsid w:val="008E18A8"/>
    <w:rsid w:val="008E1E7B"/>
    <w:rsid w:val="008E20A4"/>
    <w:rsid w:val="008E214A"/>
    <w:rsid w:val="008E2791"/>
    <w:rsid w:val="008E2C71"/>
    <w:rsid w:val="008E4355"/>
    <w:rsid w:val="008E5D6B"/>
    <w:rsid w:val="008E76F0"/>
    <w:rsid w:val="008F15FE"/>
    <w:rsid w:val="008F1D81"/>
    <w:rsid w:val="008F2A8A"/>
    <w:rsid w:val="008F2D29"/>
    <w:rsid w:val="008F34F7"/>
    <w:rsid w:val="008F5187"/>
    <w:rsid w:val="008F55B0"/>
    <w:rsid w:val="008F60D8"/>
    <w:rsid w:val="008F68C1"/>
    <w:rsid w:val="008F6C05"/>
    <w:rsid w:val="008F7270"/>
    <w:rsid w:val="008F72F0"/>
    <w:rsid w:val="008F78F1"/>
    <w:rsid w:val="00900323"/>
    <w:rsid w:val="00900915"/>
    <w:rsid w:val="00902727"/>
    <w:rsid w:val="0090312B"/>
    <w:rsid w:val="00903660"/>
    <w:rsid w:val="009038A7"/>
    <w:rsid w:val="009062AD"/>
    <w:rsid w:val="0091096F"/>
    <w:rsid w:val="00910F6E"/>
    <w:rsid w:val="009110CE"/>
    <w:rsid w:val="009170D8"/>
    <w:rsid w:val="0091736D"/>
    <w:rsid w:val="00917411"/>
    <w:rsid w:val="00917AF4"/>
    <w:rsid w:val="00921D96"/>
    <w:rsid w:val="0092314D"/>
    <w:rsid w:val="009231B1"/>
    <w:rsid w:val="00923534"/>
    <w:rsid w:val="00930334"/>
    <w:rsid w:val="0093037A"/>
    <w:rsid w:val="00932522"/>
    <w:rsid w:val="00932536"/>
    <w:rsid w:val="00932BE4"/>
    <w:rsid w:val="00933528"/>
    <w:rsid w:val="00933EB7"/>
    <w:rsid w:val="00934055"/>
    <w:rsid w:val="00934A95"/>
    <w:rsid w:val="0093535A"/>
    <w:rsid w:val="00935D52"/>
    <w:rsid w:val="009363FD"/>
    <w:rsid w:val="00936476"/>
    <w:rsid w:val="00940981"/>
    <w:rsid w:val="0094154D"/>
    <w:rsid w:val="00941E7B"/>
    <w:rsid w:val="00944F10"/>
    <w:rsid w:val="0094708B"/>
    <w:rsid w:val="00947135"/>
    <w:rsid w:val="00950C29"/>
    <w:rsid w:val="0095155F"/>
    <w:rsid w:val="00951DD0"/>
    <w:rsid w:val="009529C2"/>
    <w:rsid w:val="00952CC7"/>
    <w:rsid w:val="009541C2"/>
    <w:rsid w:val="00954429"/>
    <w:rsid w:val="00955273"/>
    <w:rsid w:val="00955621"/>
    <w:rsid w:val="00955C60"/>
    <w:rsid w:val="00956138"/>
    <w:rsid w:val="009563CE"/>
    <w:rsid w:val="00956D96"/>
    <w:rsid w:val="00956EAC"/>
    <w:rsid w:val="00957793"/>
    <w:rsid w:val="009605FB"/>
    <w:rsid w:val="00961443"/>
    <w:rsid w:val="009631C2"/>
    <w:rsid w:val="009636F8"/>
    <w:rsid w:val="00964F11"/>
    <w:rsid w:val="00966386"/>
    <w:rsid w:val="00967089"/>
    <w:rsid w:val="0096738B"/>
    <w:rsid w:val="00967F9E"/>
    <w:rsid w:val="0097107C"/>
    <w:rsid w:val="0097107F"/>
    <w:rsid w:val="009722B5"/>
    <w:rsid w:val="00973008"/>
    <w:rsid w:val="0097453E"/>
    <w:rsid w:val="00975350"/>
    <w:rsid w:val="00975BFA"/>
    <w:rsid w:val="00976328"/>
    <w:rsid w:val="0097647C"/>
    <w:rsid w:val="0097680D"/>
    <w:rsid w:val="00980F89"/>
    <w:rsid w:val="00980FD4"/>
    <w:rsid w:val="00982438"/>
    <w:rsid w:val="00983F11"/>
    <w:rsid w:val="0098404C"/>
    <w:rsid w:val="00985190"/>
    <w:rsid w:val="00985283"/>
    <w:rsid w:val="009857CC"/>
    <w:rsid w:val="00987E7F"/>
    <w:rsid w:val="00987F46"/>
    <w:rsid w:val="00992B63"/>
    <w:rsid w:val="00992FA6"/>
    <w:rsid w:val="00993AD0"/>
    <w:rsid w:val="00993C8E"/>
    <w:rsid w:val="00995992"/>
    <w:rsid w:val="009A03E5"/>
    <w:rsid w:val="009A0F3B"/>
    <w:rsid w:val="009A1091"/>
    <w:rsid w:val="009A1BB4"/>
    <w:rsid w:val="009A2628"/>
    <w:rsid w:val="009A3200"/>
    <w:rsid w:val="009A3489"/>
    <w:rsid w:val="009A3A2C"/>
    <w:rsid w:val="009A519F"/>
    <w:rsid w:val="009A58C8"/>
    <w:rsid w:val="009A5A9D"/>
    <w:rsid w:val="009A629A"/>
    <w:rsid w:val="009A67B3"/>
    <w:rsid w:val="009A7166"/>
    <w:rsid w:val="009A7355"/>
    <w:rsid w:val="009B0897"/>
    <w:rsid w:val="009B09B9"/>
    <w:rsid w:val="009B176D"/>
    <w:rsid w:val="009B408A"/>
    <w:rsid w:val="009B4499"/>
    <w:rsid w:val="009B4837"/>
    <w:rsid w:val="009B4CEB"/>
    <w:rsid w:val="009B52A7"/>
    <w:rsid w:val="009B7BD9"/>
    <w:rsid w:val="009B7E5A"/>
    <w:rsid w:val="009C0403"/>
    <w:rsid w:val="009C3ED0"/>
    <w:rsid w:val="009C50CD"/>
    <w:rsid w:val="009C567B"/>
    <w:rsid w:val="009C58FB"/>
    <w:rsid w:val="009C5A09"/>
    <w:rsid w:val="009C5CCF"/>
    <w:rsid w:val="009C5FC1"/>
    <w:rsid w:val="009C6563"/>
    <w:rsid w:val="009C6A76"/>
    <w:rsid w:val="009C6F25"/>
    <w:rsid w:val="009C7265"/>
    <w:rsid w:val="009C7DD5"/>
    <w:rsid w:val="009D03C9"/>
    <w:rsid w:val="009D0946"/>
    <w:rsid w:val="009D1A1E"/>
    <w:rsid w:val="009D5B4B"/>
    <w:rsid w:val="009D7221"/>
    <w:rsid w:val="009D72D4"/>
    <w:rsid w:val="009D79E8"/>
    <w:rsid w:val="009E05AA"/>
    <w:rsid w:val="009E0C2C"/>
    <w:rsid w:val="009E16E2"/>
    <w:rsid w:val="009E227D"/>
    <w:rsid w:val="009E392A"/>
    <w:rsid w:val="009E4EE1"/>
    <w:rsid w:val="009E5019"/>
    <w:rsid w:val="009E5299"/>
    <w:rsid w:val="009E668C"/>
    <w:rsid w:val="009E73EE"/>
    <w:rsid w:val="009E7BB1"/>
    <w:rsid w:val="009F0901"/>
    <w:rsid w:val="009F0E95"/>
    <w:rsid w:val="009F3E3B"/>
    <w:rsid w:val="009F50F0"/>
    <w:rsid w:val="009F679C"/>
    <w:rsid w:val="009F6FF0"/>
    <w:rsid w:val="009F77F0"/>
    <w:rsid w:val="009F7E36"/>
    <w:rsid w:val="00A00FF5"/>
    <w:rsid w:val="00A03B59"/>
    <w:rsid w:val="00A04294"/>
    <w:rsid w:val="00A04499"/>
    <w:rsid w:val="00A04973"/>
    <w:rsid w:val="00A04F1B"/>
    <w:rsid w:val="00A0501B"/>
    <w:rsid w:val="00A057C9"/>
    <w:rsid w:val="00A05B82"/>
    <w:rsid w:val="00A060BF"/>
    <w:rsid w:val="00A06B38"/>
    <w:rsid w:val="00A06C58"/>
    <w:rsid w:val="00A07E66"/>
    <w:rsid w:val="00A10318"/>
    <w:rsid w:val="00A11750"/>
    <w:rsid w:val="00A1349E"/>
    <w:rsid w:val="00A144B3"/>
    <w:rsid w:val="00A14947"/>
    <w:rsid w:val="00A14EBB"/>
    <w:rsid w:val="00A1597A"/>
    <w:rsid w:val="00A17D8D"/>
    <w:rsid w:val="00A209E7"/>
    <w:rsid w:val="00A21E20"/>
    <w:rsid w:val="00A22DEF"/>
    <w:rsid w:val="00A234A1"/>
    <w:rsid w:val="00A23650"/>
    <w:rsid w:val="00A23AB1"/>
    <w:rsid w:val="00A23F58"/>
    <w:rsid w:val="00A2438D"/>
    <w:rsid w:val="00A24EC0"/>
    <w:rsid w:val="00A24FCB"/>
    <w:rsid w:val="00A255E8"/>
    <w:rsid w:val="00A25DF4"/>
    <w:rsid w:val="00A25EF7"/>
    <w:rsid w:val="00A26212"/>
    <w:rsid w:val="00A270E2"/>
    <w:rsid w:val="00A274A5"/>
    <w:rsid w:val="00A30A8D"/>
    <w:rsid w:val="00A3112C"/>
    <w:rsid w:val="00A316BA"/>
    <w:rsid w:val="00A31823"/>
    <w:rsid w:val="00A32049"/>
    <w:rsid w:val="00A320B8"/>
    <w:rsid w:val="00A32A83"/>
    <w:rsid w:val="00A333FA"/>
    <w:rsid w:val="00A3391B"/>
    <w:rsid w:val="00A35069"/>
    <w:rsid w:val="00A352A7"/>
    <w:rsid w:val="00A368DB"/>
    <w:rsid w:val="00A36E0C"/>
    <w:rsid w:val="00A3706C"/>
    <w:rsid w:val="00A3774B"/>
    <w:rsid w:val="00A40117"/>
    <w:rsid w:val="00A4021E"/>
    <w:rsid w:val="00A413B3"/>
    <w:rsid w:val="00A423AA"/>
    <w:rsid w:val="00A431CF"/>
    <w:rsid w:val="00A468FF"/>
    <w:rsid w:val="00A46E64"/>
    <w:rsid w:val="00A47744"/>
    <w:rsid w:val="00A51897"/>
    <w:rsid w:val="00A52105"/>
    <w:rsid w:val="00A52677"/>
    <w:rsid w:val="00A52679"/>
    <w:rsid w:val="00A53EC6"/>
    <w:rsid w:val="00A55C0F"/>
    <w:rsid w:val="00A572DF"/>
    <w:rsid w:val="00A576C4"/>
    <w:rsid w:val="00A626F2"/>
    <w:rsid w:val="00A6288A"/>
    <w:rsid w:val="00A63623"/>
    <w:rsid w:val="00A6473C"/>
    <w:rsid w:val="00A64EB1"/>
    <w:rsid w:val="00A6530A"/>
    <w:rsid w:val="00A66CE9"/>
    <w:rsid w:val="00A67F39"/>
    <w:rsid w:val="00A7206C"/>
    <w:rsid w:val="00A73D12"/>
    <w:rsid w:val="00A74AAB"/>
    <w:rsid w:val="00A74BC2"/>
    <w:rsid w:val="00A75AF0"/>
    <w:rsid w:val="00A76486"/>
    <w:rsid w:val="00A7717E"/>
    <w:rsid w:val="00A77E79"/>
    <w:rsid w:val="00A825AD"/>
    <w:rsid w:val="00A828FC"/>
    <w:rsid w:val="00A82E7D"/>
    <w:rsid w:val="00A834AB"/>
    <w:rsid w:val="00A851B5"/>
    <w:rsid w:val="00A85362"/>
    <w:rsid w:val="00A86158"/>
    <w:rsid w:val="00A861D5"/>
    <w:rsid w:val="00A86B26"/>
    <w:rsid w:val="00A8713F"/>
    <w:rsid w:val="00A87ADD"/>
    <w:rsid w:val="00A90BA1"/>
    <w:rsid w:val="00A93337"/>
    <w:rsid w:val="00A93FE4"/>
    <w:rsid w:val="00A96EBE"/>
    <w:rsid w:val="00A97A9A"/>
    <w:rsid w:val="00AA047E"/>
    <w:rsid w:val="00AA0573"/>
    <w:rsid w:val="00AA0671"/>
    <w:rsid w:val="00AA17A3"/>
    <w:rsid w:val="00AA1A93"/>
    <w:rsid w:val="00AA2491"/>
    <w:rsid w:val="00AA24AF"/>
    <w:rsid w:val="00AA2531"/>
    <w:rsid w:val="00AA497C"/>
    <w:rsid w:val="00AA4BA8"/>
    <w:rsid w:val="00AA5425"/>
    <w:rsid w:val="00AA6483"/>
    <w:rsid w:val="00AA71FE"/>
    <w:rsid w:val="00AA7F65"/>
    <w:rsid w:val="00AB1E09"/>
    <w:rsid w:val="00AB28CA"/>
    <w:rsid w:val="00AB332E"/>
    <w:rsid w:val="00AB41AB"/>
    <w:rsid w:val="00AB4CF6"/>
    <w:rsid w:val="00AB5330"/>
    <w:rsid w:val="00AB54B3"/>
    <w:rsid w:val="00AB65FF"/>
    <w:rsid w:val="00AB7747"/>
    <w:rsid w:val="00AB79BE"/>
    <w:rsid w:val="00AB7FB1"/>
    <w:rsid w:val="00AC02A6"/>
    <w:rsid w:val="00AC14CE"/>
    <w:rsid w:val="00AC2A56"/>
    <w:rsid w:val="00AC407E"/>
    <w:rsid w:val="00AC4F41"/>
    <w:rsid w:val="00AC5CC8"/>
    <w:rsid w:val="00AD055E"/>
    <w:rsid w:val="00AD2719"/>
    <w:rsid w:val="00AD2CF7"/>
    <w:rsid w:val="00AD2DEC"/>
    <w:rsid w:val="00AD45E6"/>
    <w:rsid w:val="00AD47A7"/>
    <w:rsid w:val="00AD4BBA"/>
    <w:rsid w:val="00AD7EDD"/>
    <w:rsid w:val="00AE00FE"/>
    <w:rsid w:val="00AE10CF"/>
    <w:rsid w:val="00AE136D"/>
    <w:rsid w:val="00AE1DD4"/>
    <w:rsid w:val="00AE274B"/>
    <w:rsid w:val="00AE326B"/>
    <w:rsid w:val="00AE4184"/>
    <w:rsid w:val="00AE4AA9"/>
    <w:rsid w:val="00AE52AB"/>
    <w:rsid w:val="00AF0CBF"/>
    <w:rsid w:val="00AF1CA2"/>
    <w:rsid w:val="00AF239B"/>
    <w:rsid w:val="00AF257F"/>
    <w:rsid w:val="00AF33CF"/>
    <w:rsid w:val="00AF3BBC"/>
    <w:rsid w:val="00AF43FF"/>
    <w:rsid w:val="00AF4BC8"/>
    <w:rsid w:val="00AF4D50"/>
    <w:rsid w:val="00AF56C0"/>
    <w:rsid w:val="00AF6179"/>
    <w:rsid w:val="00AF6F84"/>
    <w:rsid w:val="00B004DB"/>
    <w:rsid w:val="00B0147B"/>
    <w:rsid w:val="00B01C4F"/>
    <w:rsid w:val="00B02C15"/>
    <w:rsid w:val="00B0567C"/>
    <w:rsid w:val="00B07FEE"/>
    <w:rsid w:val="00B11116"/>
    <w:rsid w:val="00B1111A"/>
    <w:rsid w:val="00B1295A"/>
    <w:rsid w:val="00B13A9F"/>
    <w:rsid w:val="00B13BEE"/>
    <w:rsid w:val="00B14424"/>
    <w:rsid w:val="00B15C29"/>
    <w:rsid w:val="00B167FC"/>
    <w:rsid w:val="00B16C23"/>
    <w:rsid w:val="00B20A45"/>
    <w:rsid w:val="00B22C19"/>
    <w:rsid w:val="00B22C5C"/>
    <w:rsid w:val="00B2330E"/>
    <w:rsid w:val="00B23404"/>
    <w:rsid w:val="00B24F30"/>
    <w:rsid w:val="00B26F40"/>
    <w:rsid w:val="00B303A3"/>
    <w:rsid w:val="00B30F6D"/>
    <w:rsid w:val="00B31ABF"/>
    <w:rsid w:val="00B32296"/>
    <w:rsid w:val="00B32969"/>
    <w:rsid w:val="00B32D24"/>
    <w:rsid w:val="00B33590"/>
    <w:rsid w:val="00B33BE3"/>
    <w:rsid w:val="00B356C2"/>
    <w:rsid w:val="00B35C97"/>
    <w:rsid w:val="00B37835"/>
    <w:rsid w:val="00B41AC1"/>
    <w:rsid w:val="00B4229F"/>
    <w:rsid w:val="00B4277F"/>
    <w:rsid w:val="00B42CB1"/>
    <w:rsid w:val="00B44EF5"/>
    <w:rsid w:val="00B455F6"/>
    <w:rsid w:val="00B463FB"/>
    <w:rsid w:val="00B50A99"/>
    <w:rsid w:val="00B52BFF"/>
    <w:rsid w:val="00B53A2D"/>
    <w:rsid w:val="00B53B5D"/>
    <w:rsid w:val="00B54198"/>
    <w:rsid w:val="00B54648"/>
    <w:rsid w:val="00B547C6"/>
    <w:rsid w:val="00B6022F"/>
    <w:rsid w:val="00B6055E"/>
    <w:rsid w:val="00B60B02"/>
    <w:rsid w:val="00B60E47"/>
    <w:rsid w:val="00B616C2"/>
    <w:rsid w:val="00B62EE4"/>
    <w:rsid w:val="00B6317D"/>
    <w:rsid w:val="00B637BC"/>
    <w:rsid w:val="00B653BF"/>
    <w:rsid w:val="00B65E7B"/>
    <w:rsid w:val="00B67CF0"/>
    <w:rsid w:val="00B71283"/>
    <w:rsid w:val="00B712DA"/>
    <w:rsid w:val="00B7199F"/>
    <w:rsid w:val="00B731A1"/>
    <w:rsid w:val="00B7557B"/>
    <w:rsid w:val="00B7723F"/>
    <w:rsid w:val="00B7743C"/>
    <w:rsid w:val="00B80534"/>
    <w:rsid w:val="00B81C3E"/>
    <w:rsid w:val="00B8241D"/>
    <w:rsid w:val="00B834E9"/>
    <w:rsid w:val="00B84138"/>
    <w:rsid w:val="00B841E5"/>
    <w:rsid w:val="00B8433C"/>
    <w:rsid w:val="00B8496E"/>
    <w:rsid w:val="00B8641A"/>
    <w:rsid w:val="00B86D64"/>
    <w:rsid w:val="00B87056"/>
    <w:rsid w:val="00B87491"/>
    <w:rsid w:val="00B87AFF"/>
    <w:rsid w:val="00B87D1A"/>
    <w:rsid w:val="00B90142"/>
    <w:rsid w:val="00B92698"/>
    <w:rsid w:val="00B935C8"/>
    <w:rsid w:val="00B9697D"/>
    <w:rsid w:val="00B97AE6"/>
    <w:rsid w:val="00B97D33"/>
    <w:rsid w:val="00BA00AC"/>
    <w:rsid w:val="00BA0C58"/>
    <w:rsid w:val="00BA18A2"/>
    <w:rsid w:val="00BA191A"/>
    <w:rsid w:val="00BA29E9"/>
    <w:rsid w:val="00BA2F8C"/>
    <w:rsid w:val="00BA4713"/>
    <w:rsid w:val="00BA4DAA"/>
    <w:rsid w:val="00BA5416"/>
    <w:rsid w:val="00BA7142"/>
    <w:rsid w:val="00BB0004"/>
    <w:rsid w:val="00BB0E00"/>
    <w:rsid w:val="00BB1D33"/>
    <w:rsid w:val="00BB1FE3"/>
    <w:rsid w:val="00BB237C"/>
    <w:rsid w:val="00BB3938"/>
    <w:rsid w:val="00BB41A3"/>
    <w:rsid w:val="00BB5502"/>
    <w:rsid w:val="00BB6E61"/>
    <w:rsid w:val="00BB758A"/>
    <w:rsid w:val="00BB7D18"/>
    <w:rsid w:val="00BC1917"/>
    <w:rsid w:val="00BC32DC"/>
    <w:rsid w:val="00BC35B6"/>
    <w:rsid w:val="00BC3792"/>
    <w:rsid w:val="00BC426B"/>
    <w:rsid w:val="00BC4B9B"/>
    <w:rsid w:val="00BC5566"/>
    <w:rsid w:val="00BC5ED6"/>
    <w:rsid w:val="00BC60F7"/>
    <w:rsid w:val="00BC7D6E"/>
    <w:rsid w:val="00BC7DA6"/>
    <w:rsid w:val="00BD1B51"/>
    <w:rsid w:val="00BD1C14"/>
    <w:rsid w:val="00BD3CF8"/>
    <w:rsid w:val="00BD4596"/>
    <w:rsid w:val="00BD5954"/>
    <w:rsid w:val="00BD5D2A"/>
    <w:rsid w:val="00BD66CF"/>
    <w:rsid w:val="00BD6D2E"/>
    <w:rsid w:val="00BE1405"/>
    <w:rsid w:val="00BE27F6"/>
    <w:rsid w:val="00BE312D"/>
    <w:rsid w:val="00BE3E89"/>
    <w:rsid w:val="00BE55E2"/>
    <w:rsid w:val="00BE6936"/>
    <w:rsid w:val="00BE791D"/>
    <w:rsid w:val="00BE7E29"/>
    <w:rsid w:val="00BF1982"/>
    <w:rsid w:val="00BF1C20"/>
    <w:rsid w:val="00BF25F5"/>
    <w:rsid w:val="00BF2ADB"/>
    <w:rsid w:val="00BF2B2F"/>
    <w:rsid w:val="00BF35E9"/>
    <w:rsid w:val="00BF3ABD"/>
    <w:rsid w:val="00BF5DAC"/>
    <w:rsid w:val="00BF65DE"/>
    <w:rsid w:val="00BF6D22"/>
    <w:rsid w:val="00BF75B6"/>
    <w:rsid w:val="00BF7A17"/>
    <w:rsid w:val="00BF7A64"/>
    <w:rsid w:val="00C01048"/>
    <w:rsid w:val="00C02CD3"/>
    <w:rsid w:val="00C10578"/>
    <w:rsid w:val="00C105CF"/>
    <w:rsid w:val="00C1070A"/>
    <w:rsid w:val="00C11704"/>
    <w:rsid w:val="00C127BE"/>
    <w:rsid w:val="00C12C79"/>
    <w:rsid w:val="00C135BC"/>
    <w:rsid w:val="00C13683"/>
    <w:rsid w:val="00C13BDC"/>
    <w:rsid w:val="00C15C95"/>
    <w:rsid w:val="00C1694F"/>
    <w:rsid w:val="00C16D03"/>
    <w:rsid w:val="00C175AB"/>
    <w:rsid w:val="00C2219B"/>
    <w:rsid w:val="00C228E4"/>
    <w:rsid w:val="00C22CC1"/>
    <w:rsid w:val="00C23349"/>
    <w:rsid w:val="00C238C5"/>
    <w:rsid w:val="00C2596A"/>
    <w:rsid w:val="00C26769"/>
    <w:rsid w:val="00C27537"/>
    <w:rsid w:val="00C2786C"/>
    <w:rsid w:val="00C27E4C"/>
    <w:rsid w:val="00C307CB"/>
    <w:rsid w:val="00C30C9A"/>
    <w:rsid w:val="00C316EB"/>
    <w:rsid w:val="00C3184C"/>
    <w:rsid w:val="00C32169"/>
    <w:rsid w:val="00C328FE"/>
    <w:rsid w:val="00C3294A"/>
    <w:rsid w:val="00C33507"/>
    <w:rsid w:val="00C33F71"/>
    <w:rsid w:val="00C35710"/>
    <w:rsid w:val="00C368B7"/>
    <w:rsid w:val="00C36EBA"/>
    <w:rsid w:val="00C377E7"/>
    <w:rsid w:val="00C41981"/>
    <w:rsid w:val="00C42DD6"/>
    <w:rsid w:val="00C434C8"/>
    <w:rsid w:val="00C4409D"/>
    <w:rsid w:val="00C441FC"/>
    <w:rsid w:val="00C448D9"/>
    <w:rsid w:val="00C44E72"/>
    <w:rsid w:val="00C44F5D"/>
    <w:rsid w:val="00C45159"/>
    <w:rsid w:val="00C4553B"/>
    <w:rsid w:val="00C45A06"/>
    <w:rsid w:val="00C461D8"/>
    <w:rsid w:val="00C46B1F"/>
    <w:rsid w:val="00C46F5D"/>
    <w:rsid w:val="00C4739E"/>
    <w:rsid w:val="00C47E5B"/>
    <w:rsid w:val="00C51342"/>
    <w:rsid w:val="00C51781"/>
    <w:rsid w:val="00C519FC"/>
    <w:rsid w:val="00C524A4"/>
    <w:rsid w:val="00C54282"/>
    <w:rsid w:val="00C548B2"/>
    <w:rsid w:val="00C54A90"/>
    <w:rsid w:val="00C56058"/>
    <w:rsid w:val="00C56734"/>
    <w:rsid w:val="00C5692A"/>
    <w:rsid w:val="00C56FBA"/>
    <w:rsid w:val="00C573D6"/>
    <w:rsid w:val="00C57D18"/>
    <w:rsid w:val="00C613E3"/>
    <w:rsid w:val="00C617C0"/>
    <w:rsid w:val="00C61E4B"/>
    <w:rsid w:val="00C632CF"/>
    <w:rsid w:val="00C646CE"/>
    <w:rsid w:val="00C64792"/>
    <w:rsid w:val="00C64BFF"/>
    <w:rsid w:val="00C6529E"/>
    <w:rsid w:val="00C653C7"/>
    <w:rsid w:val="00C65D36"/>
    <w:rsid w:val="00C704E9"/>
    <w:rsid w:val="00C75C0D"/>
    <w:rsid w:val="00C763C9"/>
    <w:rsid w:val="00C80057"/>
    <w:rsid w:val="00C802EB"/>
    <w:rsid w:val="00C80AD5"/>
    <w:rsid w:val="00C82232"/>
    <w:rsid w:val="00C82913"/>
    <w:rsid w:val="00C83FB4"/>
    <w:rsid w:val="00C87935"/>
    <w:rsid w:val="00C928B6"/>
    <w:rsid w:val="00C92D2F"/>
    <w:rsid w:val="00C93462"/>
    <w:rsid w:val="00C938EB"/>
    <w:rsid w:val="00C944B1"/>
    <w:rsid w:val="00C9485F"/>
    <w:rsid w:val="00C95085"/>
    <w:rsid w:val="00C95AF1"/>
    <w:rsid w:val="00C95E2B"/>
    <w:rsid w:val="00C95FDE"/>
    <w:rsid w:val="00C96E28"/>
    <w:rsid w:val="00C97232"/>
    <w:rsid w:val="00C972B1"/>
    <w:rsid w:val="00C9748C"/>
    <w:rsid w:val="00CA07CD"/>
    <w:rsid w:val="00CA0858"/>
    <w:rsid w:val="00CA1423"/>
    <w:rsid w:val="00CA29BD"/>
    <w:rsid w:val="00CA2CCE"/>
    <w:rsid w:val="00CA43FD"/>
    <w:rsid w:val="00CA4816"/>
    <w:rsid w:val="00CA5EB0"/>
    <w:rsid w:val="00CA6EC6"/>
    <w:rsid w:val="00CA7EF8"/>
    <w:rsid w:val="00CB2A09"/>
    <w:rsid w:val="00CB48BB"/>
    <w:rsid w:val="00CB4A56"/>
    <w:rsid w:val="00CB6D46"/>
    <w:rsid w:val="00CB7115"/>
    <w:rsid w:val="00CC085E"/>
    <w:rsid w:val="00CC1F29"/>
    <w:rsid w:val="00CC20A4"/>
    <w:rsid w:val="00CC30F2"/>
    <w:rsid w:val="00CC489B"/>
    <w:rsid w:val="00CC619D"/>
    <w:rsid w:val="00CC6750"/>
    <w:rsid w:val="00CC7561"/>
    <w:rsid w:val="00CD0262"/>
    <w:rsid w:val="00CD0B3F"/>
    <w:rsid w:val="00CD1AFF"/>
    <w:rsid w:val="00CD1BE3"/>
    <w:rsid w:val="00CD1FAF"/>
    <w:rsid w:val="00CD2BCD"/>
    <w:rsid w:val="00CD349E"/>
    <w:rsid w:val="00CD3A4C"/>
    <w:rsid w:val="00CD4119"/>
    <w:rsid w:val="00CD5196"/>
    <w:rsid w:val="00CE0319"/>
    <w:rsid w:val="00CE10E9"/>
    <w:rsid w:val="00CE210A"/>
    <w:rsid w:val="00CE2910"/>
    <w:rsid w:val="00CE2CC7"/>
    <w:rsid w:val="00CE2EA8"/>
    <w:rsid w:val="00CE31E5"/>
    <w:rsid w:val="00CE3582"/>
    <w:rsid w:val="00CE3ABF"/>
    <w:rsid w:val="00CE4753"/>
    <w:rsid w:val="00CE490F"/>
    <w:rsid w:val="00CE5393"/>
    <w:rsid w:val="00CE5CE7"/>
    <w:rsid w:val="00CE5CE9"/>
    <w:rsid w:val="00CE6475"/>
    <w:rsid w:val="00CE7FBE"/>
    <w:rsid w:val="00CF2A0A"/>
    <w:rsid w:val="00CF2CCC"/>
    <w:rsid w:val="00CF2E9A"/>
    <w:rsid w:val="00CF36BE"/>
    <w:rsid w:val="00CF3731"/>
    <w:rsid w:val="00CF4282"/>
    <w:rsid w:val="00CF5A62"/>
    <w:rsid w:val="00CF6000"/>
    <w:rsid w:val="00CF6CCD"/>
    <w:rsid w:val="00D002F1"/>
    <w:rsid w:val="00D003F3"/>
    <w:rsid w:val="00D00C3B"/>
    <w:rsid w:val="00D0121C"/>
    <w:rsid w:val="00D013F0"/>
    <w:rsid w:val="00D02D2F"/>
    <w:rsid w:val="00D0364F"/>
    <w:rsid w:val="00D0374D"/>
    <w:rsid w:val="00D03B53"/>
    <w:rsid w:val="00D03D65"/>
    <w:rsid w:val="00D058A8"/>
    <w:rsid w:val="00D06257"/>
    <w:rsid w:val="00D06834"/>
    <w:rsid w:val="00D07F96"/>
    <w:rsid w:val="00D111FB"/>
    <w:rsid w:val="00D115DC"/>
    <w:rsid w:val="00D12031"/>
    <w:rsid w:val="00D15236"/>
    <w:rsid w:val="00D15DE5"/>
    <w:rsid w:val="00D169E7"/>
    <w:rsid w:val="00D16DAC"/>
    <w:rsid w:val="00D176F8"/>
    <w:rsid w:val="00D17D3F"/>
    <w:rsid w:val="00D21D85"/>
    <w:rsid w:val="00D230AA"/>
    <w:rsid w:val="00D271AD"/>
    <w:rsid w:val="00D2740C"/>
    <w:rsid w:val="00D3075B"/>
    <w:rsid w:val="00D308ED"/>
    <w:rsid w:val="00D3148A"/>
    <w:rsid w:val="00D31971"/>
    <w:rsid w:val="00D31E47"/>
    <w:rsid w:val="00D325D0"/>
    <w:rsid w:val="00D33768"/>
    <w:rsid w:val="00D33CD7"/>
    <w:rsid w:val="00D35662"/>
    <w:rsid w:val="00D36D86"/>
    <w:rsid w:val="00D378DD"/>
    <w:rsid w:val="00D37F77"/>
    <w:rsid w:val="00D400DC"/>
    <w:rsid w:val="00D41988"/>
    <w:rsid w:val="00D42321"/>
    <w:rsid w:val="00D42356"/>
    <w:rsid w:val="00D428AA"/>
    <w:rsid w:val="00D43234"/>
    <w:rsid w:val="00D43544"/>
    <w:rsid w:val="00D43908"/>
    <w:rsid w:val="00D449F4"/>
    <w:rsid w:val="00D4506F"/>
    <w:rsid w:val="00D45AEA"/>
    <w:rsid w:val="00D45E99"/>
    <w:rsid w:val="00D467FD"/>
    <w:rsid w:val="00D47BC4"/>
    <w:rsid w:val="00D5047F"/>
    <w:rsid w:val="00D50A34"/>
    <w:rsid w:val="00D51F0F"/>
    <w:rsid w:val="00D534AC"/>
    <w:rsid w:val="00D5357E"/>
    <w:rsid w:val="00D53EFA"/>
    <w:rsid w:val="00D54C49"/>
    <w:rsid w:val="00D5546F"/>
    <w:rsid w:val="00D557A0"/>
    <w:rsid w:val="00D55CAC"/>
    <w:rsid w:val="00D56626"/>
    <w:rsid w:val="00D57972"/>
    <w:rsid w:val="00D57C91"/>
    <w:rsid w:val="00D61317"/>
    <w:rsid w:val="00D63033"/>
    <w:rsid w:val="00D64117"/>
    <w:rsid w:val="00D64127"/>
    <w:rsid w:val="00D64D50"/>
    <w:rsid w:val="00D658A8"/>
    <w:rsid w:val="00D66B72"/>
    <w:rsid w:val="00D67C98"/>
    <w:rsid w:val="00D73447"/>
    <w:rsid w:val="00D73472"/>
    <w:rsid w:val="00D73632"/>
    <w:rsid w:val="00D74D8E"/>
    <w:rsid w:val="00D76B3B"/>
    <w:rsid w:val="00D76DB9"/>
    <w:rsid w:val="00D7774C"/>
    <w:rsid w:val="00D808F3"/>
    <w:rsid w:val="00D81527"/>
    <w:rsid w:val="00D84411"/>
    <w:rsid w:val="00D857B4"/>
    <w:rsid w:val="00D86448"/>
    <w:rsid w:val="00D87261"/>
    <w:rsid w:val="00D87AF3"/>
    <w:rsid w:val="00D9015F"/>
    <w:rsid w:val="00D90452"/>
    <w:rsid w:val="00D913C8"/>
    <w:rsid w:val="00D92100"/>
    <w:rsid w:val="00D94A7C"/>
    <w:rsid w:val="00D94CF6"/>
    <w:rsid w:val="00D94D63"/>
    <w:rsid w:val="00D95896"/>
    <w:rsid w:val="00DA1A59"/>
    <w:rsid w:val="00DA3054"/>
    <w:rsid w:val="00DA5E8D"/>
    <w:rsid w:val="00DA5F22"/>
    <w:rsid w:val="00DA6993"/>
    <w:rsid w:val="00DA69DF"/>
    <w:rsid w:val="00DA718D"/>
    <w:rsid w:val="00DB2983"/>
    <w:rsid w:val="00DB2F1A"/>
    <w:rsid w:val="00DB308A"/>
    <w:rsid w:val="00DB3F79"/>
    <w:rsid w:val="00DB54F3"/>
    <w:rsid w:val="00DB56BE"/>
    <w:rsid w:val="00DB57A3"/>
    <w:rsid w:val="00DB6B52"/>
    <w:rsid w:val="00DC080D"/>
    <w:rsid w:val="00DC1257"/>
    <w:rsid w:val="00DC1786"/>
    <w:rsid w:val="00DC1CA5"/>
    <w:rsid w:val="00DC2DF9"/>
    <w:rsid w:val="00DC3DC0"/>
    <w:rsid w:val="00DC3F1F"/>
    <w:rsid w:val="00DC4561"/>
    <w:rsid w:val="00DC4E2F"/>
    <w:rsid w:val="00DC551D"/>
    <w:rsid w:val="00DC589A"/>
    <w:rsid w:val="00DC5B2B"/>
    <w:rsid w:val="00DC6481"/>
    <w:rsid w:val="00DC78B5"/>
    <w:rsid w:val="00DD0055"/>
    <w:rsid w:val="00DD04AF"/>
    <w:rsid w:val="00DD1121"/>
    <w:rsid w:val="00DD1385"/>
    <w:rsid w:val="00DD1B7F"/>
    <w:rsid w:val="00DD1C8E"/>
    <w:rsid w:val="00DD303B"/>
    <w:rsid w:val="00DD318D"/>
    <w:rsid w:val="00DD45C2"/>
    <w:rsid w:val="00DD4BCD"/>
    <w:rsid w:val="00DD672D"/>
    <w:rsid w:val="00DD6DBE"/>
    <w:rsid w:val="00DD706A"/>
    <w:rsid w:val="00DE00C9"/>
    <w:rsid w:val="00DE0DF7"/>
    <w:rsid w:val="00DE19F3"/>
    <w:rsid w:val="00DE1B4A"/>
    <w:rsid w:val="00DE1BF1"/>
    <w:rsid w:val="00DE1D46"/>
    <w:rsid w:val="00DE450C"/>
    <w:rsid w:val="00DE4C6E"/>
    <w:rsid w:val="00DE7636"/>
    <w:rsid w:val="00DE7678"/>
    <w:rsid w:val="00DF0F09"/>
    <w:rsid w:val="00DF2E12"/>
    <w:rsid w:val="00DF3C7A"/>
    <w:rsid w:val="00DF41DE"/>
    <w:rsid w:val="00DF514A"/>
    <w:rsid w:val="00DF56FE"/>
    <w:rsid w:val="00DF57FF"/>
    <w:rsid w:val="00DF5C64"/>
    <w:rsid w:val="00DF5C85"/>
    <w:rsid w:val="00DF62F7"/>
    <w:rsid w:val="00DF6690"/>
    <w:rsid w:val="00DF6804"/>
    <w:rsid w:val="00E01AA8"/>
    <w:rsid w:val="00E02F8D"/>
    <w:rsid w:val="00E0358D"/>
    <w:rsid w:val="00E035B6"/>
    <w:rsid w:val="00E041E4"/>
    <w:rsid w:val="00E04323"/>
    <w:rsid w:val="00E04D58"/>
    <w:rsid w:val="00E05A5A"/>
    <w:rsid w:val="00E05D9A"/>
    <w:rsid w:val="00E066D1"/>
    <w:rsid w:val="00E06A3A"/>
    <w:rsid w:val="00E070A2"/>
    <w:rsid w:val="00E07C02"/>
    <w:rsid w:val="00E10596"/>
    <w:rsid w:val="00E1174D"/>
    <w:rsid w:val="00E12C5F"/>
    <w:rsid w:val="00E13850"/>
    <w:rsid w:val="00E159C8"/>
    <w:rsid w:val="00E178E5"/>
    <w:rsid w:val="00E21D15"/>
    <w:rsid w:val="00E23DD5"/>
    <w:rsid w:val="00E24155"/>
    <w:rsid w:val="00E24E5B"/>
    <w:rsid w:val="00E25AE1"/>
    <w:rsid w:val="00E25B62"/>
    <w:rsid w:val="00E2656A"/>
    <w:rsid w:val="00E27267"/>
    <w:rsid w:val="00E27AA9"/>
    <w:rsid w:val="00E301C6"/>
    <w:rsid w:val="00E3024B"/>
    <w:rsid w:val="00E30D15"/>
    <w:rsid w:val="00E336D3"/>
    <w:rsid w:val="00E33E17"/>
    <w:rsid w:val="00E33FC6"/>
    <w:rsid w:val="00E343D4"/>
    <w:rsid w:val="00E343E6"/>
    <w:rsid w:val="00E34612"/>
    <w:rsid w:val="00E36B71"/>
    <w:rsid w:val="00E37D87"/>
    <w:rsid w:val="00E37DC7"/>
    <w:rsid w:val="00E40401"/>
    <w:rsid w:val="00E412D0"/>
    <w:rsid w:val="00E41608"/>
    <w:rsid w:val="00E4524D"/>
    <w:rsid w:val="00E454F1"/>
    <w:rsid w:val="00E455D4"/>
    <w:rsid w:val="00E45996"/>
    <w:rsid w:val="00E46CCB"/>
    <w:rsid w:val="00E47341"/>
    <w:rsid w:val="00E47490"/>
    <w:rsid w:val="00E509CA"/>
    <w:rsid w:val="00E51E1E"/>
    <w:rsid w:val="00E52A1C"/>
    <w:rsid w:val="00E53216"/>
    <w:rsid w:val="00E53FC4"/>
    <w:rsid w:val="00E53FD2"/>
    <w:rsid w:val="00E55433"/>
    <w:rsid w:val="00E55D81"/>
    <w:rsid w:val="00E56322"/>
    <w:rsid w:val="00E57189"/>
    <w:rsid w:val="00E60982"/>
    <w:rsid w:val="00E62303"/>
    <w:rsid w:val="00E62502"/>
    <w:rsid w:val="00E6267C"/>
    <w:rsid w:val="00E62C62"/>
    <w:rsid w:val="00E6301E"/>
    <w:rsid w:val="00E638DA"/>
    <w:rsid w:val="00E654C1"/>
    <w:rsid w:val="00E65D97"/>
    <w:rsid w:val="00E70C9E"/>
    <w:rsid w:val="00E72A5A"/>
    <w:rsid w:val="00E72FE5"/>
    <w:rsid w:val="00E730FA"/>
    <w:rsid w:val="00E7330F"/>
    <w:rsid w:val="00E73354"/>
    <w:rsid w:val="00E74BB7"/>
    <w:rsid w:val="00E74C25"/>
    <w:rsid w:val="00E74EF1"/>
    <w:rsid w:val="00E7537E"/>
    <w:rsid w:val="00E80603"/>
    <w:rsid w:val="00E8105A"/>
    <w:rsid w:val="00E81F24"/>
    <w:rsid w:val="00E84D31"/>
    <w:rsid w:val="00E863A4"/>
    <w:rsid w:val="00E86CD8"/>
    <w:rsid w:val="00E91EE6"/>
    <w:rsid w:val="00E92327"/>
    <w:rsid w:val="00E9242D"/>
    <w:rsid w:val="00E931FE"/>
    <w:rsid w:val="00E93F34"/>
    <w:rsid w:val="00E963C7"/>
    <w:rsid w:val="00E96B62"/>
    <w:rsid w:val="00EA0059"/>
    <w:rsid w:val="00EA0F73"/>
    <w:rsid w:val="00EA17C7"/>
    <w:rsid w:val="00EA18F7"/>
    <w:rsid w:val="00EA19B6"/>
    <w:rsid w:val="00EA23C9"/>
    <w:rsid w:val="00EA257F"/>
    <w:rsid w:val="00EA262A"/>
    <w:rsid w:val="00EA4091"/>
    <w:rsid w:val="00EA492A"/>
    <w:rsid w:val="00EA5107"/>
    <w:rsid w:val="00EA562E"/>
    <w:rsid w:val="00EA582F"/>
    <w:rsid w:val="00EA6924"/>
    <w:rsid w:val="00EB0E57"/>
    <w:rsid w:val="00EB2E2D"/>
    <w:rsid w:val="00EB48BE"/>
    <w:rsid w:val="00EB4998"/>
    <w:rsid w:val="00EB5255"/>
    <w:rsid w:val="00EB56C9"/>
    <w:rsid w:val="00EB58E0"/>
    <w:rsid w:val="00EB5C47"/>
    <w:rsid w:val="00EB783F"/>
    <w:rsid w:val="00EB7DD1"/>
    <w:rsid w:val="00EC0C97"/>
    <w:rsid w:val="00EC0D23"/>
    <w:rsid w:val="00EC1708"/>
    <w:rsid w:val="00EC20A1"/>
    <w:rsid w:val="00EC3AA4"/>
    <w:rsid w:val="00EC7C89"/>
    <w:rsid w:val="00ED0639"/>
    <w:rsid w:val="00ED0B06"/>
    <w:rsid w:val="00ED3C3D"/>
    <w:rsid w:val="00ED3F1E"/>
    <w:rsid w:val="00ED5670"/>
    <w:rsid w:val="00ED5A65"/>
    <w:rsid w:val="00ED6D3D"/>
    <w:rsid w:val="00EE0969"/>
    <w:rsid w:val="00EE134C"/>
    <w:rsid w:val="00EE2220"/>
    <w:rsid w:val="00EE2882"/>
    <w:rsid w:val="00EE2FF6"/>
    <w:rsid w:val="00EE3C52"/>
    <w:rsid w:val="00EE4C42"/>
    <w:rsid w:val="00EE656D"/>
    <w:rsid w:val="00EE7762"/>
    <w:rsid w:val="00EF020F"/>
    <w:rsid w:val="00EF08F7"/>
    <w:rsid w:val="00EF1D42"/>
    <w:rsid w:val="00EF29E0"/>
    <w:rsid w:val="00EF379D"/>
    <w:rsid w:val="00EF3A89"/>
    <w:rsid w:val="00EF4755"/>
    <w:rsid w:val="00EF5E23"/>
    <w:rsid w:val="00EF635A"/>
    <w:rsid w:val="00EF6463"/>
    <w:rsid w:val="00EF6503"/>
    <w:rsid w:val="00EF7135"/>
    <w:rsid w:val="00EF766D"/>
    <w:rsid w:val="00F01505"/>
    <w:rsid w:val="00F027DB"/>
    <w:rsid w:val="00F03109"/>
    <w:rsid w:val="00F0351F"/>
    <w:rsid w:val="00F037D8"/>
    <w:rsid w:val="00F042ED"/>
    <w:rsid w:val="00F062CA"/>
    <w:rsid w:val="00F07F11"/>
    <w:rsid w:val="00F11C9F"/>
    <w:rsid w:val="00F12122"/>
    <w:rsid w:val="00F127F2"/>
    <w:rsid w:val="00F14320"/>
    <w:rsid w:val="00F1443F"/>
    <w:rsid w:val="00F144FB"/>
    <w:rsid w:val="00F149C4"/>
    <w:rsid w:val="00F14A7A"/>
    <w:rsid w:val="00F14E1D"/>
    <w:rsid w:val="00F15C54"/>
    <w:rsid w:val="00F16D94"/>
    <w:rsid w:val="00F21796"/>
    <w:rsid w:val="00F2206F"/>
    <w:rsid w:val="00F22985"/>
    <w:rsid w:val="00F23BB6"/>
    <w:rsid w:val="00F246D1"/>
    <w:rsid w:val="00F255A2"/>
    <w:rsid w:val="00F26D8E"/>
    <w:rsid w:val="00F27D72"/>
    <w:rsid w:val="00F313DB"/>
    <w:rsid w:val="00F32E10"/>
    <w:rsid w:val="00F3383E"/>
    <w:rsid w:val="00F34779"/>
    <w:rsid w:val="00F34F1E"/>
    <w:rsid w:val="00F352F1"/>
    <w:rsid w:val="00F3570A"/>
    <w:rsid w:val="00F357FD"/>
    <w:rsid w:val="00F358A4"/>
    <w:rsid w:val="00F36463"/>
    <w:rsid w:val="00F37162"/>
    <w:rsid w:val="00F37765"/>
    <w:rsid w:val="00F3780F"/>
    <w:rsid w:val="00F402B2"/>
    <w:rsid w:val="00F408B3"/>
    <w:rsid w:val="00F40B78"/>
    <w:rsid w:val="00F40C6F"/>
    <w:rsid w:val="00F44A0E"/>
    <w:rsid w:val="00F44E98"/>
    <w:rsid w:val="00F45051"/>
    <w:rsid w:val="00F465A7"/>
    <w:rsid w:val="00F47967"/>
    <w:rsid w:val="00F47A3C"/>
    <w:rsid w:val="00F47CB1"/>
    <w:rsid w:val="00F502BB"/>
    <w:rsid w:val="00F50584"/>
    <w:rsid w:val="00F50B7C"/>
    <w:rsid w:val="00F50D11"/>
    <w:rsid w:val="00F53763"/>
    <w:rsid w:val="00F53C61"/>
    <w:rsid w:val="00F53E7A"/>
    <w:rsid w:val="00F545BB"/>
    <w:rsid w:val="00F5481C"/>
    <w:rsid w:val="00F550E6"/>
    <w:rsid w:val="00F56D5B"/>
    <w:rsid w:val="00F60AAE"/>
    <w:rsid w:val="00F623FA"/>
    <w:rsid w:val="00F63520"/>
    <w:rsid w:val="00F65013"/>
    <w:rsid w:val="00F65160"/>
    <w:rsid w:val="00F658B7"/>
    <w:rsid w:val="00F71431"/>
    <w:rsid w:val="00F720C2"/>
    <w:rsid w:val="00F72D9F"/>
    <w:rsid w:val="00F73DCC"/>
    <w:rsid w:val="00F74345"/>
    <w:rsid w:val="00F747A4"/>
    <w:rsid w:val="00F751E4"/>
    <w:rsid w:val="00F75F09"/>
    <w:rsid w:val="00F7675D"/>
    <w:rsid w:val="00F772B9"/>
    <w:rsid w:val="00F80A0A"/>
    <w:rsid w:val="00F819DD"/>
    <w:rsid w:val="00F82B19"/>
    <w:rsid w:val="00F83BB9"/>
    <w:rsid w:val="00F8483C"/>
    <w:rsid w:val="00F87E24"/>
    <w:rsid w:val="00F9045B"/>
    <w:rsid w:val="00F9212D"/>
    <w:rsid w:val="00F927B1"/>
    <w:rsid w:val="00F927D1"/>
    <w:rsid w:val="00F92810"/>
    <w:rsid w:val="00F928DA"/>
    <w:rsid w:val="00F92A45"/>
    <w:rsid w:val="00F92E76"/>
    <w:rsid w:val="00F92FAF"/>
    <w:rsid w:val="00F9521D"/>
    <w:rsid w:val="00F953F8"/>
    <w:rsid w:val="00F95A48"/>
    <w:rsid w:val="00F95BDA"/>
    <w:rsid w:val="00F965DA"/>
    <w:rsid w:val="00FA09B8"/>
    <w:rsid w:val="00FA1823"/>
    <w:rsid w:val="00FA25A9"/>
    <w:rsid w:val="00FA26D1"/>
    <w:rsid w:val="00FA2D87"/>
    <w:rsid w:val="00FA2FE0"/>
    <w:rsid w:val="00FA406A"/>
    <w:rsid w:val="00FA4557"/>
    <w:rsid w:val="00FA5137"/>
    <w:rsid w:val="00FA5590"/>
    <w:rsid w:val="00FA61FD"/>
    <w:rsid w:val="00FA6B3E"/>
    <w:rsid w:val="00FA6B8E"/>
    <w:rsid w:val="00FA70B3"/>
    <w:rsid w:val="00FB0F0C"/>
    <w:rsid w:val="00FB132D"/>
    <w:rsid w:val="00FB1334"/>
    <w:rsid w:val="00FB2722"/>
    <w:rsid w:val="00FB3284"/>
    <w:rsid w:val="00FB503A"/>
    <w:rsid w:val="00FB516C"/>
    <w:rsid w:val="00FB6B98"/>
    <w:rsid w:val="00FC3EB3"/>
    <w:rsid w:val="00FC4593"/>
    <w:rsid w:val="00FC4AC7"/>
    <w:rsid w:val="00FC5259"/>
    <w:rsid w:val="00FC59D5"/>
    <w:rsid w:val="00FD0236"/>
    <w:rsid w:val="00FD035E"/>
    <w:rsid w:val="00FD080E"/>
    <w:rsid w:val="00FD18F4"/>
    <w:rsid w:val="00FD1DF9"/>
    <w:rsid w:val="00FD2B5C"/>
    <w:rsid w:val="00FD2D78"/>
    <w:rsid w:val="00FD3F03"/>
    <w:rsid w:val="00FD52BC"/>
    <w:rsid w:val="00FD54DB"/>
    <w:rsid w:val="00FD5C84"/>
    <w:rsid w:val="00FD619F"/>
    <w:rsid w:val="00FD63E9"/>
    <w:rsid w:val="00FD64A6"/>
    <w:rsid w:val="00FD7492"/>
    <w:rsid w:val="00FE0359"/>
    <w:rsid w:val="00FE192A"/>
    <w:rsid w:val="00FE2EB8"/>
    <w:rsid w:val="00FE3F5C"/>
    <w:rsid w:val="00FE487E"/>
    <w:rsid w:val="00FE4CC4"/>
    <w:rsid w:val="00FE5DD5"/>
    <w:rsid w:val="00FE6156"/>
    <w:rsid w:val="00FE6936"/>
    <w:rsid w:val="00FF02A9"/>
    <w:rsid w:val="00FF07BB"/>
    <w:rsid w:val="00FF4253"/>
    <w:rsid w:val="00FF4833"/>
    <w:rsid w:val="00FF7E12"/>
    <w:rsid w:val="00FF7FF7"/>
    <w:rsid w:val="01161381"/>
    <w:rsid w:val="01290F7E"/>
    <w:rsid w:val="015D1E09"/>
    <w:rsid w:val="01B1683E"/>
    <w:rsid w:val="02053E8A"/>
    <w:rsid w:val="02697903"/>
    <w:rsid w:val="02F96569"/>
    <w:rsid w:val="03213875"/>
    <w:rsid w:val="03374A13"/>
    <w:rsid w:val="03EA7B21"/>
    <w:rsid w:val="04036B1D"/>
    <w:rsid w:val="041201AF"/>
    <w:rsid w:val="04CE1F73"/>
    <w:rsid w:val="04ED3EB4"/>
    <w:rsid w:val="05121EB2"/>
    <w:rsid w:val="051A3AA5"/>
    <w:rsid w:val="053C6EDC"/>
    <w:rsid w:val="05F83EAE"/>
    <w:rsid w:val="062260D2"/>
    <w:rsid w:val="062F1D87"/>
    <w:rsid w:val="0637499F"/>
    <w:rsid w:val="063E7D85"/>
    <w:rsid w:val="07293586"/>
    <w:rsid w:val="07295285"/>
    <w:rsid w:val="07314F74"/>
    <w:rsid w:val="07636392"/>
    <w:rsid w:val="07770C56"/>
    <w:rsid w:val="081C4F12"/>
    <w:rsid w:val="089860B5"/>
    <w:rsid w:val="08D50EDD"/>
    <w:rsid w:val="08F94910"/>
    <w:rsid w:val="08FB23F9"/>
    <w:rsid w:val="092217DD"/>
    <w:rsid w:val="093A7294"/>
    <w:rsid w:val="094C3F53"/>
    <w:rsid w:val="0A263993"/>
    <w:rsid w:val="0A2D3AC2"/>
    <w:rsid w:val="0A3D398A"/>
    <w:rsid w:val="0A4045DE"/>
    <w:rsid w:val="0AA755DF"/>
    <w:rsid w:val="0AF66B6D"/>
    <w:rsid w:val="0B120D44"/>
    <w:rsid w:val="0B5450D5"/>
    <w:rsid w:val="0BD27BF6"/>
    <w:rsid w:val="0C1F7592"/>
    <w:rsid w:val="0C252478"/>
    <w:rsid w:val="0C3B3C7D"/>
    <w:rsid w:val="0C453F6C"/>
    <w:rsid w:val="0C767178"/>
    <w:rsid w:val="0CAB2EAE"/>
    <w:rsid w:val="0D34539B"/>
    <w:rsid w:val="0D621C7D"/>
    <w:rsid w:val="0D6306C4"/>
    <w:rsid w:val="0D8A6D8A"/>
    <w:rsid w:val="0D8D4BBF"/>
    <w:rsid w:val="0DB70766"/>
    <w:rsid w:val="0E4671F4"/>
    <w:rsid w:val="0E6210E7"/>
    <w:rsid w:val="0E686F94"/>
    <w:rsid w:val="0E73034D"/>
    <w:rsid w:val="0ED40186"/>
    <w:rsid w:val="0F13775A"/>
    <w:rsid w:val="0F5F45FE"/>
    <w:rsid w:val="0F9A112B"/>
    <w:rsid w:val="0FA7036A"/>
    <w:rsid w:val="0FBD7470"/>
    <w:rsid w:val="106D2F64"/>
    <w:rsid w:val="10B63710"/>
    <w:rsid w:val="10CA58ED"/>
    <w:rsid w:val="10EC17B7"/>
    <w:rsid w:val="10F10820"/>
    <w:rsid w:val="11024669"/>
    <w:rsid w:val="111C2F7A"/>
    <w:rsid w:val="11457119"/>
    <w:rsid w:val="11665CA1"/>
    <w:rsid w:val="119D320A"/>
    <w:rsid w:val="11B36778"/>
    <w:rsid w:val="12DE15D3"/>
    <w:rsid w:val="134A0D8B"/>
    <w:rsid w:val="1351449B"/>
    <w:rsid w:val="13951726"/>
    <w:rsid w:val="14276FAA"/>
    <w:rsid w:val="14396509"/>
    <w:rsid w:val="14A61A0F"/>
    <w:rsid w:val="14BA43DA"/>
    <w:rsid w:val="14DD2C3C"/>
    <w:rsid w:val="156F6E5A"/>
    <w:rsid w:val="15F84806"/>
    <w:rsid w:val="16087E1D"/>
    <w:rsid w:val="167F4E7B"/>
    <w:rsid w:val="16B90F0F"/>
    <w:rsid w:val="17550823"/>
    <w:rsid w:val="17701D14"/>
    <w:rsid w:val="17735226"/>
    <w:rsid w:val="17DA2B64"/>
    <w:rsid w:val="189F624C"/>
    <w:rsid w:val="19AD31D1"/>
    <w:rsid w:val="19AF6ACB"/>
    <w:rsid w:val="19C42F09"/>
    <w:rsid w:val="1A1C66C0"/>
    <w:rsid w:val="1A2C70C8"/>
    <w:rsid w:val="1A391B06"/>
    <w:rsid w:val="1A42393B"/>
    <w:rsid w:val="1AAD45DE"/>
    <w:rsid w:val="1ACA0386"/>
    <w:rsid w:val="1AD87DB4"/>
    <w:rsid w:val="1AF85AC6"/>
    <w:rsid w:val="1B02504D"/>
    <w:rsid w:val="1B046F80"/>
    <w:rsid w:val="1B0C1E7B"/>
    <w:rsid w:val="1B0E4834"/>
    <w:rsid w:val="1B3267B5"/>
    <w:rsid w:val="1B40161D"/>
    <w:rsid w:val="1B441859"/>
    <w:rsid w:val="1B6606B1"/>
    <w:rsid w:val="1C0726A0"/>
    <w:rsid w:val="1C132A0B"/>
    <w:rsid w:val="1C2B7314"/>
    <w:rsid w:val="1C480A37"/>
    <w:rsid w:val="1C5E7925"/>
    <w:rsid w:val="1CDD28FB"/>
    <w:rsid w:val="1CE0738D"/>
    <w:rsid w:val="1CFD070F"/>
    <w:rsid w:val="1D5F6196"/>
    <w:rsid w:val="1D6132A5"/>
    <w:rsid w:val="1D726056"/>
    <w:rsid w:val="1D8E56D5"/>
    <w:rsid w:val="1DF904A7"/>
    <w:rsid w:val="1E7A43DA"/>
    <w:rsid w:val="1FE7539E"/>
    <w:rsid w:val="2007660D"/>
    <w:rsid w:val="20671BE0"/>
    <w:rsid w:val="20963CB8"/>
    <w:rsid w:val="20A81A1B"/>
    <w:rsid w:val="20B07FB6"/>
    <w:rsid w:val="20B646FB"/>
    <w:rsid w:val="20E95D13"/>
    <w:rsid w:val="20EF0E4F"/>
    <w:rsid w:val="20F85C80"/>
    <w:rsid w:val="213B74B1"/>
    <w:rsid w:val="215A2310"/>
    <w:rsid w:val="21DE318A"/>
    <w:rsid w:val="21EF5B80"/>
    <w:rsid w:val="224E135E"/>
    <w:rsid w:val="22576990"/>
    <w:rsid w:val="22F47480"/>
    <w:rsid w:val="23DE1C48"/>
    <w:rsid w:val="240210CD"/>
    <w:rsid w:val="242F7676"/>
    <w:rsid w:val="24BF09F7"/>
    <w:rsid w:val="252D53FE"/>
    <w:rsid w:val="25485A38"/>
    <w:rsid w:val="25EC2D81"/>
    <w:rsid w:val="26145099"/>
    <w:rsid w:val="26451C3D"/>
    <w:rsid w:val="26576EE1"/>
    <w:rsid w:val="2677791D"/>
    <w:rsid w:val="26D52A6E"/>
    <w:rsid w:val="27266901"/>
    <w:rsid w:val="277057A2"/>
    <w:rsid w:val="27C53ECC"/>
    <w:rsid w:val="28715C5A"/>
    <w:rsid w:val="288307FB"/>
    <w:rsid w:val="28866A20"/>
    <w:rsid w:val="29206EB8"/>
    <w:rsid w:val="29595666"/>
    <w:rsid w:val="29874881"/>
    <w:rsid w:val="29995CCA"/>
    <w:rsid w:val="29E325E0"/>
    <w:rsid w:val="2A452503"/>
    <w:rsid w:val="2A5B6181"/>
    <w:rsid w:val="2A98579C"/>
    <w:rsid w:val="2B21516F"/>
    <w:rsid w:val="2BA936A8"/>
    <w:rsid w:val="2BBF7D3C"/>
    <w:rsid w:val="2C315A5A"/>
    <w:rsid w:val="2C4B1C25"/>
    <w:rsid w:val="2C6259AE"/>
    <w:rsid w:val="2CFF241A"/>
    <w:rsid w:val="2D5B1D46"/>
    <w:rsid w:val="2D612EDE"/>
    <w:rsid w:val="2D954E7E"/>
    <w:rsid w:val="2D9E56F5"/>
    <w:rsid w:val="2DDF3297"/>
    <w:rsid w:val="2E0C3040"/>
    <w:rsid w:val="2E667F96"/>
    <w:rsid w:val="2E8226AB"/>
    <w:rsid w:val="2E84618F"/>
    <w:rsid w:val="2EF83211"/>
    <w:rsid w:val="2EFB6C54"/>
    <w:rsid w:val="2F017F63"/>
    <w:rsid w:val="2FD065E6"/>
    <w:rsid w:val="2FD96870"/>
    <w:rsid w:val="30580BC9"/>
    <w:rsid w:val="30601EA9"/>
    <w:rsid w:val="311E2ED7"/>
    <w:rsid w:val="315619EE"/>
    <w:rsid w:val="315C449C"/>
    <w:rsid w:val="31B82709"/>
    <w:rsid w:val="31D05482"/>
    <w:rsid w:val="321E017D"/>
    <w:rsid w:val="32400B34"/>
    <w:rsid w:val="329E6876"/>
    <w:rsid w:val="32C65EB4"/>
    <w:rsid w:val="333015F2"/>
    <w:rsid w:val="333704DD"/>
    <w:rsid w:val="334B6320"/>
    <w:rsid w:val="338676E9"/>
    <w:rsid w:val="33D934D4"/>
    <w:rsid w:val="33FE2F6A"/>
    <w:rsid w:val="340E07E5"/>
    <w:rsid w:val="34235BF7"/>
    <w:rsid w:val="34822EF1"/>
    <w:rsid w:val="34FB2CBF"/>
    <w:rsid w:val="3580603E"/>
    <w:rsid w:val="358C5FA8"/>
    <w:rsid w:val="35BD1A2E"/>
    <w:rsid w:val="35C15DF1"/>
    <w:rsid w:val="36074A7F"/>
    <w:rsid w:val="36511DBB"/>
    <w:rsid w:val="36923549"/>
    <w:rsid w:val="36B75FBF"/>
    <w:rsid w:val="36BD0C45"/>
    <w:rsid w:val="37E00298"/>
    <w:rsid w:val="381A45AC"/>
    <w:rsid w:val="381F3182"/>
    <w:rsid w:val="388D3D50"/>
    <w:rsid w:val="38AC4466"/>
    <w:rsid w:val="38B302F9"/>
    <w:rsid w:val="38F12CD3"/>
    <w:rsid w:val="38F94775"/>
    <w:rsid w:val="3907658F"/>
    <w:rsid w:val="392971ED"/>
    <w:rsid w:val="39325651"/>
    <w:rsid w:val="3A683CF4"/>
    <w:rsid w:val="3A872856"/>
    <w:rsid w:val="3AF906D6"/>
    <w:rsid w:val="3B3763D1"/>
    <w:rsid w:val="3B874D47"/>
    <w:rsid w:val="3BCE0EA9"/>
    <w:rsid w:val="3C2F6E1E"/>
    <w:rsid w:val="3C472CD5"/>
    <w:rsid w:val="3C4F64BA"/>
    <w:rsid w:val="3C94492D"/>
    <w:rsid w:val="3CDA245A"/>
    <w:rsid w:val="3D162910"/>
    <w:rsid w:val="3D1E06B7"/>
    <w:rsid w:val="3DA64A80"/>
    <w:rsid w:val="3DEB561A"/>
    <w:rsid w:val="3E1921AE"/>
    <w:rsid w:val="3EDA0523"/>
    <w:rsid w:val="3FC75019"/>
    <w:rsid w:val="40685CFF"/>
    <w:rsid w:val="407A6407"/>
    <w:rsid w:val="416922FA"/>
    <w:rsid w:val="41874A92"/>
    <w:rsid w:val="41B767F6"/>
    <w:rsid w:val="41BD66D4"/>
    <w:rsid w:val="41C37CC8"/>
    <w:rsid w:val="4200449D"/>
    <w:rsid w:val="420E33D3"/>
    <w:rsid w:val="423A3BCC"/>
    <w:rsid w:val="424E57D2"/>
    <w:rsid w:val="42664FBD"/>
    <w:rsid w:val="42B26C49"/>
    <w:rsid w:val="42BF3301"/>
    <w:rsid w:val="42C04D39"/>
    <w:rsid w:val="433A6FE6"/>
    <w:rsid w:val="43480868"/>
    <w:rsid w:val="4350713C"/>
    <w:rsid w:val="436653E0"/>
    <w:rsid w:val="43C4431A"/>
    <w:rsid w:val="44B951CC"/>
    <w:rsid w:val="44CD14E0"/>
    <w:rsid w:val="44DA6E9F"/>
    <w:rsid w:val="44F20B0B"/>
    <w:rsid w:val="452E5F4C"/>
    <w:rsid w:val="45612018"/>
    <w:rsid w:val="458946E9"/>
    <w:rsid w:val="45A47C0E"/>
    <w:rsid w:val="45B4685C"/>
    <w:rsid w:val="45EF65CD"/>
    <w:rsid w:val="46034E02"/>
    <w:rsid w:val="4605512C"/>
    <w:rsid w:val="46296568"/>
    <w:rsid w:val="46577FD6"/>
    <w:rsid w:val="46825DF4"/>
    <w:rsid w:val="4698770F"/>
    <w:rsid w:val="46D955A7"/>
    <w:rsid w:val="46F57A9D"/>
    <w:rsid w:val="47133957"/>
    <w:rsid w:val="47A07E0C"/>
    <w:rsid w:val="4870272E"/>
    <w:rsid w:val="48DA509A"/>
    <w:rsid w:val="495618F7"/>
    <w:rsid w:val="497C52E9"/>
    <w:rsid w:val="49867749"/>
    <w:rsid w:val="49DC7715"/>
    <w:rsid w:val="49EC6340"/>
    <w:rsid w:val="4A023139"/>
    <w:rsid w:val="4A2E640C"/>
    <w:rsid w:val="4A437992"/>
    <w:rsid w:val="4A7B576F"/>
    <w:rsid w:val="4AF561A9"/>
    <w:rsid w:val="4AFB6E46"/>
    <w:rsid w:val="4B1206D4"/>
    <w:rsid w:val="4B91002C"/>
    <w:rsid w:val="4BD768E6"/>
    <w:rsid w:val="4C4A0649"/>
    <w:rsid w:val="4C7E5ECA"/>
    <w:rsid w:val="4C876AA5"/>
    <w:rsid w:val="4D0E00FB"/>
    <w:rsid w:val="4D176606"/>
    <w:rsid w:val="4DEC4FB0"/>
    <w:rsid w:val="4E075D8A"/>
    <w:rsid w:val="4EB90223"/>
    <w:rsid w:val="4EC00FAD"/>
    <w:rsid w:val="4EF52F41"/>
    <w:rsid w:val="4F284E4C"/>
    <w:rsid w:val="4F934452"/>
    <w:rsid w:val="4F9843DC"/>
    <w:rsid w:val="4FB01626"/>
    <w:rsid w:val="4FC62A8C"/>
    <w:rsid w:val="4FE20F0D"/>
    <w:rsid w:val="4FE51552"/>
    <w:rsid w:val="50504C4B"/>
    <w:rsid w:val="509C6E7C"/>
    <w:rsid w:val="5162104E"/>
    <w:rsid w:val="51A7252A"/>
    <w:rsid w:val="51CE2237"/>
    <w:rsid w:val="51E8779D"/>
    <w:rsid w:val="52186054"/>
    <w:rsid w:val="534E018C"/>
    <w:rsid w:val="536200C2"/>
    <w:rsid w:val="53A039CC"/>
    <w:rsid w:val="53A1505A"/>
    <w:rsid w:val="54063E08"/>
    <w:rsid w:val="54091C4C"/>
    <w:rsid w:val="543437E8"/>
    <w:rsid w:val="543C0AB5"/>
    <w:rsid w:val="548F3A47"/>
    <w:rsid w:val="54F73313"/>
    <w:rsid w:val="54F80955"/>
    <w:rsid w:val="555170A7"/>
    <w:rsid w:val="557B4484"/>
    <w:rsid w:val="5587536D"/>
    <w:rsid w:val="559B174B"/>
    <w:rsid w:val="55CE0CF4"/>
    <w:rsid w:val="564C5CFA"/>
    <w:rsid w:val="56B22A9C"/>
    <w:rsid w:val="570828D4"/>
    <w:rsid w:val="57280B4F"/>
    <w:rsid w:val="575B4327"/>
    <w:rsid w:val="577872C8"/>
    <w:rsid w:val="57976F2D"/>
    <w:rsid w:val="57B72A76"/>
    <w:rsid w:val="57C3426C"/>
    <w:rsid w:val="57CE1F93"/>
    <w:rsid w:val="588743D1"/>
    <w:rsid w:val="5887701A"/>
    <w:rsid w:val="590F2CA9"/>
    <w:rsid w:val="59AA7E4C"/>
    <w:rsid w:val="59C0439F"/>
    <w:rsid w:val="59E24552"/>
    <w:rsid w:val="5A041504"/>
    <w:rsid w:val="5A2832A0"/>
    <w:rsid w:val="5A3840BC"/>
    <w:rsid w:val="5A3A2B60"/>
    <w:rsid w:val="5A5D1732"/>
    <w:rsid w:val="5ABE2233"/>
    <w:rsid w:val="5B7200D7"/>
    <w:rsid w:val="5B7E4CCE"/>
    <w:rsid w:val="5BC000C5"/>
    <w:rsid w:val="5BDF5D95"/>
    <w:rsid w:val="5BFE7528"/>
    <w:rsid w:val="5C254644"/>
    <w:rsid w:val="5C7927CC"/>
    <w:rsid w:val="5C9E4C05"/>
    <w:rsid w:val="5CC55CF4"/>
    <w:rsid w:val="5D2D086D"/>
    <w:rsid w:val="5D721639"/>
    <w:rsid w:val="5D9B410E"/>
    <w:rsid w:val="5E0E5F55"/>
    <w:rsid w:val="5E2467F1"/>
    <w:rsid w:val="5E5D0D69"/>
    <w:rsid w:val="5F1A2B43"/>
    <w:rsid w:val="5F5A7800"/>
    <w:rsid w:val="5FB522EA"/>
    <w:rsid w:val="5FB837BB"/>
    <w:rsid w:val="5FF73E17"/>
    <w:rsid w:val="60CC405A"/>
    <w:rsid w:val="60CC788E"/>
    <w:rsid w:val="60DD5FF3"/>
    <w:rsid w:val="60EE0200"/>
    <w:rsid w:val="60F9736D"/>
    <w:rsid w:val="611B3299"/>
    <w:rsid w:val="61E215D8"/>
    <w:rsid w:val="61F555BE"/>
    <w:rsid w:val="621B3775"/>
    <w:rsid w:val="62364782"/>
    <w:rsid w:val="6394356A"/>
    <w:rsid w:val="63C61B2C"/>
    <w:rsid w:val="63D40BE9"/>
    <w:rsid w:val="64102431"/>
    <w:rsid w:val="64A5243A"/>
    <w:rsid w:val="64F531DE"/>
    <w:rsid w:val="65373578"/>
    <w:rsid w:val="654749D6"/>
    <w:rsid w:val="6552284D"/>
    <w:rsid w:val="65D85CC7"/>
    <w:rsid w:val="65E30DEB"/>
    <w:rsid w:val="663D1850"/>
    <w:rsid w:val="671F124A"/>
    <w:rsid w:val="67417A37"/>
    <w:rsid w:val="675456FB"/>
    <w:rsid w:val="67737DA8"/>
    <w:rsid w:val="677A33C6"/>
    <w:rsid w:val="681F6961"/>
    <w:rsid w:val="68610A2F"/>
    <w:rsid w:val="68805514"/>
    <w:rsid w:val="69316E2F"/>
    <w:rsid w:val="694E2071"/>
    <w:rsid w:val="697234D3"/>
    <w:rsid w:val="69766163"/>
    <w:rsid w:val="697A3B33"/>
    <w:rsid w:val="698B139E"/>
    <w:rsid w:val="69D44760"/>
    <w:rsid w:val="6A520EC7"/>
    <w:rsid w:val="6AF87E20"/>
    <w:rsid w:val="6B322639"/>
    <w:rsid w:val="6B7F2878"/>
    <w:rsid w:val="6BDD4329"/>
    <w:rsid w:val="6C217FDC"/>
    <w:rsid w:val="6C4033A3"/>
    <w:rsid w:val="6C636C38"/>
    <w:rsid w:val="6CD462F9"/>
    <w:rsid w:val="6CDD0ED9"/>
    <w:rsid w:val="6D5456A1"/>
    <w:rsid w:val="6D8D7147"/>
    <w:rsid w:val="6DAF1B04"/>
    <w:rsid w:val="6DB34098"/>
    <w:rsid w:val="6DB545B6"/>
    <w:rsid w:val="6DB602F7"/>
    <w:rsid w:val="6DC14CAA"/>
    <w:rsid w:val="6DE02FB4"/>
    <w:rsid w:val="6E514CED"/>
    <w:rsid w:val="6E564717"/>
    <w:rsid w:val="6EAE2E6A"/>
    <w:rsid w:val="6EB563D5"/>
    <w:rsid w:val="6ED92677"/>
    <w:rsid w:val="6EF13240"/>
    <w:rsid w:val="6F225983"/>
    <w:rsid w:val="6F743E2A"/>
    <w:rsid w:val="6FBE408A"/>
    <w:rsid w:val="6FFC5590"/>
    <w:rsid w:val="70020125"/>
    <w:rsid w:val="706D1DD0"/>
    <w:rsid w:val="70856B87"/>
    <w:rsid w:val="70D527EE"/>
    <w:rsid w:val="715B5300"/>
    <w:rsid w:val="7165222D"/>
    <w:rsid w:val="7186186E"/>
    <w:rsid w:val="7197635C"/>
    <w:rsid w:val="71D27F8A"/>
    <w:rsid w:val="72553024"/>
    <w:rsid w:val="727229DA"/>
    <w:rsid w:val="72B4040B"/>
    <w:rsid w:val="73122968"/>
    <w:rsid w:val="731F5D5E"/>
    <w:rsid w:val="73C51AD5"/>
    <w:rsid w:val="73DC27D7"/>
    <w:rsid w:val="741E793C"/>
    <w:rsid w:val="742A69B1"/>
    <w:rsid w:val="745E3944"/>
    <w:rsid w:val="75387692"/>
    <w:rsid w:val="76052069"/>
    <w:rsid w:val="7635099D"/>
    <w:rsid w:val="76AC04E9"/>
    <w:rsid w:val="7755292F"/>
    <w:rsid w:val="776B1CB9"/>
    <w:rsid w:val="77762421"/>
    <w:rsid w:val="77B56B1F"/>
    <w:rsid w:val="77EF4B32"/>
    <w:rsid w:val="780F09F4"/>
    <w:rsid w:val="781B1E5F"/>
    <w:rsid w:val="781E352F"/>
    <w:rsid w:val="78A90480"/>
    <w:rsid w:val="794A0C7A"/>
    <w:rsid w:val="79686905"/>
    <w:rsid w:val="79766B8D"/>
    <w:rsid w:val="79F77AB5"/>
    <w:rsid w:val="7A204A9D"/>
    <w:rsid w:val="7A364017"/>
    <w:rsid w:val="7A715CD2"/>
    <w:rsid w:val="7A8265E1"/>
    <w:rsid w:val="7B3B1E3C"/>
    <w:rsid w:val="7B686D42"/>
    <w:rsid w:val="7B841746"/>
    <w:rsid w:val="7C182CEC"/>
    <w:rsid w:val="7C330D65"/>
    <w:rsid w:val="7C6C5AC7"/>
    <w:rsid w:val="7C815F74"/>
    <w:rsid w:val="7CA04ACB"/>
    <w:rsid w:val="7CC6544B"/>
    <w:rsid w:val="7D0239FF"/>
    <w:rsid w:val="7D5E40CD"/>
    <w:rsid w:val="7DC1616A"/>
    <w:rsid w:val="7DCD56F2"/>
    <w:rsid w:val="7DF32616"/>
    <w:rsid w:val="7E88183C"/>
    <w:rsid w:val="7F001CE7"/>
    <w:rsid w:val="7F2A42E9"/>
    <w:rsid w:val="7F877C2B"/>
    <w:rsid w:val="7FB56B5B"/>
    <w:rsid w:val="7FDF24E6"/>
    <w:rsid w:val="7FE47E50"/>
    <w:rsid w:val="7FF7EF37"/>
    <w:rsid w:val="C2C5B617"/>
    <w:rsid w:val="EFDEC1B5"/>
    <w:rsid w:val="F2BF74E6"/>
    <w:rsid w:val="FBBB0688"/>
    <w:rsid w:val="FBDF4635"/>
    <w:rsid w:val="FEFFCFA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endarrow="block"/>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semiHidden="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3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9"/>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3">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styleId="2">
    <w:name w:val="Body Text"/>
    <w:basedOn w:val="1"/>
    <w:next w:val="3"/>
    <w:link w:val="28"/>
    <w:qFormat/>
    <w:uiPriority w:val="0"/>
    <w:pPr>
      <w:widowControl/>
      <w:snapToGrid w:val="0"/>
      <w:spacing w:before="60" w:after="160" w:line="259" w:lineRule="auto"/>
      <w:ind w:right="113"/>
    </w:pPr>
    <w:rPr>
      <w:kern w:val="0"/>
      <w:sz w:val="18"/>
      <w:szCs w:val="20"/>
    </w:rPr>
  </w:style>
  <w:style w:type="paragraph" w:styleId="3">
    <w:name w:val="List Bullet 5"/>
    <w:basedOn w:val="1"/>
    <w:qFormat/>
    <w:locked/>
    <w:uiPriority w:val="0"/>
    <w:pPr>
      <w:numPr>
        <w:ilvl w:val="0"/>
        <w:numId w:val="1"/>
      </w:numPr>
    </w:pPr>
  </w:style>
  <w:style w:type="paragraph" w:styleId="5">
    <w:name w:val="List 3"/>
    <w:basedOn w:val="1"/>
    <w:qFormat/>
    <w:locked/>
    <w:uiPriority w:val="0"/>
    <w:pPr>
      <w:spacing w:line="360" w:lineRule="auto"/>
      <w:ind w:left="100" w:leftChars="400" w:hanging="200" w:hangingChars="200"/>
    </w:pPr>
    <w:rPr>
      <w:sz w:val="24"/>
    </w:rPr>
  </w:style>
  <w:style w:type="paragraph" w:styleId="6">
    <w:name w:val="Document Map"/>
    <w:basedOn w:val="1"/>
    <w:link w:val="30"/>
    <w:qFormat/>
    <w:locked/>
    <w:uiPriority w:val="0"/>
    <w:rPr>
      <w:rFonts w:ascii="宋体"/>
      <w:sz w:val="18"/>
      <w:szCs w:val="18"/>
    </w:rPr>
  </w:style>
  <w:style w:type="paragraph" w:styleId="7">
    <w:name w:val="annotation text"/>
    <w:basedOn w:val="1"/>
    <w:link w:val="31"/>
    <w:qFormat/>
    <w:uiPriority w:val="99"/>
    <w:pPr>
      <w:jc w:val="left"/>
    </w:pPr>
    <w:rPr>
      <w:kern w:val="0"/>
      <w:sz w:val="24"/>
      <w:szCs w:val="20"/>
    </w:rPr>
  </w:style>
  <w:style w:type="paragraph" w:styleId="8">
    <w:name w:val="Body Text Indent"/>
    <w:basedOn w:val="1"/>
    <w:link w:val="32"/>
    <w:qFormat/>
    <w:uiPriority w:val="0"/>
    <w:pPr>
      <w:spacing w:after="120"/>
      <w:ind w:left="420" w:leftChars="200"/>
    </w:pPr>
    <w:rPr>
      <w:kern w:val="0"/>
      <w:sz w:val="24"/>
      <w:szCs w:val="20"/>
    </w:rPr>
  </w:style>
  <w:style w:type="paragraph" w:styleId="9">
    <w:name w:val="toc 3"/>
    <w:basedOn w:val="1"/>
    <w:next w:val="1"/>
    <w:qFormat/>
    <w:locked/>
    <w:uiPriority w:val="39"/>
    <w:pPr>
      <w:ind w:left="840" w:leftChars="400"/>
    </w:pPr>
  </w:style>
  <w:style w:type="paragraph" w:styleId="10">
    <w:name w:val="Date"/>
    <w:basedOn w:val="1"/>
    <w:next w:val="1"/>
    <w:link w:val="33"/>
    <w:qFormat/>
    <w:uiPriority w:val="0"/>
    <w:pPr>
      <w:ind w:left="100" w:leftChars="2500"/>
    </w:pPr>
    <w:rPr>
      <w:kern w:val="0"/>
      <w:sz w:val="24"/>
      <w:szCs w:val="20"/>
    </w:rPr>
  </w:style>
  <w:style w:type="paragraph" w:styleId="11">
    <w:name w:val="Body Text Indent 2"/>
    <w:basedOn w:val="1"/>
    <w:link w:val="34"/>
    <w:qFormat/>
    <w:locked/>
    <w:uiPriority w:val="0"/>
    <w:pPr>
      <w:spacing w:after="120" w:line="480" w:lineRule="auto"/>
      <w:ind w:left="420" w:leftChars="200"/>
    </w:pPr>
  </w:style>
  <w:style w:type="paragraph" w:styleId="12">
    <w:name w:val="Balloon Text"/>
    <w:basedOn w:val="1"/>
    <w:link w:val="35"/>
    <w:semiHidden/>
    <w:qFormat/>
    <w:uiPriority w:val="0"/>
    <w:rPr>
      <w:kern w:val="0"/>
      <w:sz w:val="18"/>
      <w:szCs w:val="20"/>
    </w:rPr>
  </w:style>
  <w:style w:type="paragraph" w:styleId="13">
    <w:name w:val="footer"/>
    <w:basedOn w:val="1"/>
    <w:link w:val="36"/>
    <w:qFormat/>
    <w:uiPriority w:val="99"/>
    <w:pPr>
      <w:tabs>
        <w:tab w:val="center" w:pos="4153"/>
        <w:tab w:val="right" w:pos="8306"/>
      </w:tabs>
      <w:snapToGrid w:val="0"/>
      <w:jc w:val="left"/>
    </w:pPr>
    <w:rPr>
      <w:kern w:val="0"/>
      <w:sz w:val="18"/>
      <w:szCs w:val="20"/>
    </w:rPr>
  </w:style>
  <w:style w:type="paragraph" w:styleId="14">
    <w:name w:val="header"/>
    <w:basedOn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oc 1"/>
    <w:basedOn w:val="1"/>
    <w:next w:val="1"/>
    <w:qFormat/>
    <w:locked/>
    <w:uiPriority w:val="39"/>
  </w:style>
  <w:style w:type="paragraph" w:styleId="16">
    <w:name w:val="Body Text Indent 3"/>
    <w:basedOn w:val="1"/>
    <w:link w:val="38"/>
    <w:qFormat/>
    <w:locked/>
    <w:uiPriority w:val="0"/>
    <w:pPr>
      <w:spacing w:after="120"/>
      <w:ind w:left="420" w:leftChars="200"/>
    </w:pPr>
    <w:rPr>
      <w:sz w:val="16"/>
      <w:szCs w:val="16"/>
    </w:rPr>
  </w:style>
  <w:style w:type="paragraph" w:styleId="17">
    <w:name w:val="Body Text 2"/>
    <w:basedOn w:val="1"/>
    <w:link w:val="39"/>
    <w:qFormat/>
    <w:locked/>
    <w:uiPriority w:val="0"/>
    <w:pPr>
      <w:spacing w:after="120" w:line="480" w:lineRule="auto"/>
    </w:pPr>
  </w:style>
  <w:style w:type="paragraph" w:styleId="18">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19">
    <w:name w:val="Title"/>
    <w:basedOn w:val="1"/>
    <w:next w:val="1"/>
    <w:qFormat/>
    <w:locked/>
    <w:uiPriority w:val="0"/>
    <w:pPr>
      <w:spacing w:line="480" w:lineRule="exact"/>
      <w:jc w:val="left"/>
      <w:outlineLvl w:val="0"/>
    </w:pPr>
    <w:rPr>
      <w:rFonts w:ascii="FangSong_GB2312" w:hAnsi="Cambria" w:eastAsia="FangSong_GB2312" w:cs="Times New Roman"/>
      <w:b/>
      <w:bCs/>
      <w:sz w:val="28"/>
      <w:szCs w:val="32"/>
    </w:rPr>
  </w:style>
  <w:style w:type="paragraph" w:styleId="20">
    <w:name w:val="annotation subject"/>
    <w:basedOn w:val="7"/>
    <w:next w:val="7"/>
    <w:link w:val="41"/>
    <w:semiHidden/>
    <w:qFormat/>
    <w:uiPriority w:val="0"/>
    <w:rPr>
      <w:b/>
      <w:kern w:val="2"/>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qFormat/>
    <w:locked/>
    <w:uiPriority w:val="0"/>
  </w:style>
  <w:style w:type="character" w:styleId="25">
    <w:name w:val="FollowedHyperlink"/>
    <w:unhideWhenUsed/>
    <w:qFormat/>
    <w:locked/>
    <w:uiPriority w:val="99"/>
    <w:rPr>
      <w:color w:val="800080"/>
      <w:u w:val="single"/>
    </w:rPr>
  </w:style>
  <w:style w:type="character" w:styleId="26">
    <w:name w:val="Hyperlink"/>
    <w:qFormat/>
    <w:locked/>
    <w:uiPriority w:val="99"/>
    <w:rPr>
      <w:color w:val="0000CC"/>
      <w:u w:val="single"/>
    </w:rPr>
  </w:style>
  <w:style w:type="character" w:styleId="27">
    <w:name w:val="annotation reference"/>
    <w:qFormat/>
    <w:uiPriority w:val="0"/>
    <w:rPr>
      <w:sz w:val="21"/>
    </w:rPr>
  </w:style>
  <w:style w:type="character" w:customStyle="1" w:styleId="28">
    <w:name w:val="正文文本 Char"/>
    <w:link w:val="2"/>
    <w:qFormat/>
    <w:locked/>
    <w:uiPriority w:val="0"/>
    <w:rPr>
      <w:sz w:val="18"/>
    </w:rPr>
  </w:style>
  <w:style w:type="character" w:customStyle="1" w:styleId="29">
    <w:name w:val="标题 1 Char"/>
    <w:basedOn w:val="23"/>
    <w:link w:val="4"/>
    <w:qFormat/>
    <w:locked/>
    <w:uiPriority w:val="99"/>
    <w:rPr>
      <w:rFonts w:eastAsia="黑体"/>
      <w:b/>
      <w:bCs/>
      <w:color w:val="000000"/>
      <w:kern w:val="44"/>
      <w:sz w:val="30"/>
      <w:szCs w:val="30"/>
    </w:rPr>
  </w:style>
  <w:style w:type="character" w:customStyle="1" w:styleId="30">
    <w:name w:val="文档结构图 Char"/>
    <w:link w:val="6"/>
    <w:qFormat/>
    <w:uiPriority w:val="0"/>
    <w:rPr>
      <w:rFonts w:ascii="宋体"/>
      <w:kern w:val="2"/>
      <w:sz w:val="18"/>
      <w:szCs w:val="18"/>
    </w:rPr>
  </w:style>
  <w:style w:type="character" w:customStyle="1" w:styleId="31">
    <w:name w:val="批注文字 Char"/>
    <w:link w:val="7"/>
    <w:qFormat/>
    <w:locked/>
    <w:uiPriority w:val="99"/>
    <w:rPr>
      <w:rFonts w:ascii="Times New Roman" w:hAnsi="Times New Roman" w:eastAsia="宋体"/>
      <w:sz w:val="24"/>
    </w:rPr>
  </w:style>
  <w:style w:type="character" w:customStyle="1" w:styleId="32">
    <w:name w:val="正文文本缩进 Char"/>
    <w:link w:val="8"/>
    <w:semiHidden/>
    <w:qFormat/>
    <w:locked/>
    <w:uiPriority w:val="0"/>
    <w:rPr>
      <w:rFonts w:ascii="Times New Roman" w:hAnsi="Times New Roman" w:eastAsia="宋体"/>
      <w:sz w:val="24"/>
    </w:rPr>
  </w:style>
  <w:style w:type="character" w:customStyle="1" w:styleId="33">
    <w:name w:val="日期 Char"/>
    <w:link w:val="10"/>
    <w:qFormat/>
    <w:locked/>
    <w:uiPriority w:val="0"/>
    <w:rPr>
      <w:rFonts w:ascii="Times New Roman" w:hAnsi="Times New Roman" w:eastAsia="宋体"/>
      <w:sz w:val="24"/>
    </w:rPr>
  </w:style>
  <w:style w:type="character" w:customStyle="1" w:styleId="34">
    <w:name w:val="正文文本缩进 2 Char"/>
    <w:link w:val="11"/>
    <w:qFormat/>
    <w:uiPriority w:val="0"/>
    <w:rPr>
      <w:kern w:val="2"/>
      <w:sz w:val="21"/>
      <w:szCs w:val="24"/>
    </w:rPr>
  </w:style>
  <w:style w:type="character" w:customStyle="1" w:styleId="35">
    <w:name w:val="批注框文本 Char"/>
    <w:link w:val="12"/>
    <w:semiHidden/>
    <w:qFormat/>
    <w:locked/>
    <w:uiPriority w:val="0"/>
    <w:rPr>
      <w:rFonts w:ascii="Times New Roman" w:hAnsi="Times New Roman" w:eastAsia="宋体"/>
      <w:sz w:val="18"/>
    </w:rPr>
  </w:style>
  <w:style w:type="character" w:customStyle="1" w:styleId="36">
    <w:name w:val="页脚 Char"/>
    <w:link w:val="13"/>
    <w:qFormat/>
    <w:locked/>
    <w:uiPriority w:val="99"/>
    <w:rPr>
      <w:sz w:val="18"/>
    </w:rPr>
  </w:style>
  <w:style w:type="character" w:customStyle="1" w:styleId="37">
    <w:name w:val="页眉 Char"/>
    <w:link w:val="14"/>
    <w:qFormat/>
    <w:locked/>
    <w:uiPriority w:val="0"/>
    <w:rPr>
      <w:sz w:val="18"/>
    </w:rPr>
  </w:style>
  <w:style w:type="character" w:customStyle="1" w:styleId="38">
    <w:name w:val="正文文本缩进 3 Char"/>
    <w:link w:val="16"/>
    <w:qFormat/>
    <w:uiPriority w:val="0"/>
    <w:rPr>
      <w:kern w:val="2"/>
      <w:sz w:val="16"/>
      <w:szCs w:val="16"/>
    </w:rPr>
  </w:style>
  <w:style w:type="character" w:customStyle="1" w:styleId="39">
    <w:name w:val="正文文本 2 Char"/>
    <w:link w:val="17"/>
    <w:qFormat/>
    <w:uiPriority w:val="0"/>
    <w:rPr>
      <w:kern w:val="2"/>
      <w:sz w:val="21"/>
      <w:szCs w:val="24"/>
    </w:rPr>
  </w:style>
  <w:style w:type="character" w:customStyle="1" w:styleId="40">
    <w:name w:val="普通(网站) Char"/>
    <w:link w:val="18"/>
    <w:qFormat/>
    <w:locked/>
    <w:uiPriority w:val="0"/>
    <w:rPr>
      <w:rFonts w:ascii="宋体" w:hAnsi="宋体" w:eastAsia="宋体"/>
      <w:sz w:val="24"/>
    </w:rPr>
  </w:style>
  <w:style w:type="character" w:customStyle="1" w:styleId="41">
    <w:name w:val="批注主题 Char"/>
    <w:link w:val="20"/>
    <w:semiHidden/>
    <w:qFormat/>
    <w:locked/>
    <w:uiPriority w:val="0"/>
    <w:rPr>
      <w:rFonts w:ascii="Times New Roman" w:hAnsi="Times New Roman" w:eastAsia="宋体"/>
      <w:b/>
      <w:kern w:val="2"/>
      <w:sz w:val="24"/>
    </w:rPr>
  </w:style>
  <w:style w:type="character" w:customStyle="1" w:styleId="42">
    <w:name w:val="页脚 字符"/>
    <w:qFormat/>
    <w:uiPriority w:val="99"/>
  </w:style>
  <w:style w:type="character" w:customStyle="1" w:styleId="43">
    <w:name w:val="正文文本 字符1"/>
    <w:semiHidden/>
    <w:qFormat/>
    <w:uiPriority w:val="0"/>
    <w:rPr>
      <w:rFonts w:ascii="Times New Roman" w:hAnsi="Times New Roman" w:eastAsia="宋体"/>
      <w:sz w:val="24"/>
    </w:rPr>
  </w:style>
  <w:style w:type="character" w:customStyle="1" w:styleId="44">
    <w:name w:val="表格 Char"/>
    <w:link w:val="45"/>
    <w:qFormat/>
    <w:locked/>
    <w:uiPriority w:val="0"/>
    <w:rPr>
      <w:rFonts w:ascii="宋体"/>
      <w:sz w:val="21"/>
    </w:rPr>
  </w:style>
  <w:style w:type="paragraph" w:customStyle="1" w:styleId="45">
    <w:name w:val="表格"/>
    <w:basedOn w:val="1"/>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46">
    <w:name w:val="日期 字符"/>
    <w:semiHidden/>
    <w:qFormat/>
    <w:uiPriority w:val="0"/>
    <w:rPr>
      <w:rFonts w:ascii="Times New Roman" w:hAnsi="Times New Roman" w:eastAsia="宋体"/>
      <w:sz w:val="24"/>
    </w:rPr>
  </w:style>
  <w:style w:type="character" w:customStyle="1" w:styleId="47">
    <w:name w:val="批注文字 字符1"/>
    <w:semiHidden/>
    <w:qFormat/>
    <w:uiPriority w:val="0"/>
    <w:rPr>
      <w:rFonts w:ascii="Times New Roman" w:hAnsi="Times New Roman" w:eastAsia="宋体"/>
      <w:sz w:val="24"/>
    </w:rPr>
  </w:style>
  <w:style w:type="paragraph" w:customStyle="1" w:styleId="4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0">
    <w:name w:val="列出段落11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51">
    <w:name w:val="Default"/>
    <w:link w:val="52"/>
    <w:qFormat/>
    <w:uiPriority w:val="0"/>
    <w:pPr>
      <w:widowControl w:val="0"/>
      <w:autoSpaceDE w:val="0"/>
      <w:autoSpaceDN w:val="0"/>
      <w:adjustRightInd w:val="0"/>
    </w:pPr>
    <w:rPr>
      <w:rFonts w:ascii="仿宋_GB2312" w:hAnsi="Times New Roman" w:eastAsia="仿宋_GB2312" w:cs="Times New Roman"/>
      <w:color w:val="000000"/>
      <w:sz w:val="24"/>
      <w:szCs w:val="24"/>
      <w:lang w:val="en-US" w:eastAsia="zh-CN" w:bidi="ar-SA"/>
    </w:rPr>
  </w:style>
  <w:style w:type="character" w:customStyle="1" w:styleId="52">
    <w:name w:val="Default Char"/>
    <w:link w:val="51"/>
    <w:qFormat/>
    <w:uiPriority w:val="0"/>
    <w:rPr>
      <w:rFonts w:ascii="仿宋_GB2312" w:eastAsia="仿宋_GB2312"/>
      <w:color w:val="000000"/>
      <w:sz w:val="24"/>
      <w:szCs w:val="24"/>
      <w:lang w:bidi="ar-SA"/>
    </w:rPr>
  </w:style>
  <w:style w:type="paragraph" w:styleId="53">
    <w:name w:val="List Paragraph"/>
    <w:basedOn w:val="1"/>
    <w:qFormat/>
    <w:uiPriority w:val="99"/>
    <w:pPr>
      <w:widowControl/>
      <w:spacing w:line="500" w:lineRule="exact"/>
      <w:ind w:firstLine="420" w:firstLineChars="200"/>
      <w:jc w:val="left"/>
    </w:pPr>
    <w:rPr>
      <w:rFonts w:ascii="Calibri" w:hAnsi="Calibri"/>
      <w:szCs w:val="22"/>
    </w:rPr>
  </w:style>
  <w:style w:type="paragraph" w:customStyle="1" w:styleId="54">
    <w:name w:val="正文_19"/>
    <w:qFormat/>
    <w:uiPriority w:val="0"/>
    <w:pPr>
      <w:widowControl w:val="0"/>
      <w:jc w:val="both"/>
    </w:pPr>
    <w:rPr>
      <w:rFonts w:ascii="Calibri" w:hAnsi="Calibri" w:eastAsia="宋体" w:cs="Times New Roman"/>
      <w:kern w:val="2"/>
      <w:sz w:val="21"/>
      <w:lang w:val="en-US" w:eastAsia="zh-CN" w:bidi="ar-SA"/>
    </w:rPr>
  </w:style>
  <w:style w:type="paragraph" w:customStyle="1" w:styleId="55">
    <w:name w:val="文本框"/>
    <w:basedOn w:val="1"/>
    <w:next w:val="1"/>
    <w:qFormat/>
    <w:uiPriority w:val="0"/>
    <w:pPr>
      <w:tabs>
        <w:tab w:val="left" w:pos="0"/>
      </w:tabs>
      <w:spacing w:line="240" w:lineRule="atLeast"/>
      <w:jc w:val="center"/>
    </w:pPr>
    <w:rPr>
      <w:rFonts w:eastAsia="仿宋_GB2312"/>
      <w:spacing w:val="12"/>
      <w:szCs w:val="28"/>
    </w:rPr>
  </w:style>
  <w:style w:type="paragraph" w:customStyle="1" w:styleId="56">
    <w:name w:val="1"/>
    <w:basedOn w:val="1"/>
    <w:next w:val="17"/>
    <w:qFormat/>
    <w:uiPriority w:val="0"/>
    <w:pPr>
      <w:widowControl/>
      <w:jc w:val="left"/>
    </w:pPr>
    <w:rPr>
      <w:color w:val="000000"/>
    </w:rPr>
  </w:style>
  <w:style w:type="paragraph" w:customStyle="1" w:styleId="57">
    <w:name w:val="Char Char9 Char Char Char Char Char Char Char"/>
    <w:basedOn w:val="1"/>
    <w:qFormat/>
    <w:uiPriority w:val="0"/>
  </w:style>
  <w:style w:type="paragraph" w:customStyle="1" w:styleId="58">
    <w:name w:val="常用表头样式"/>
    <w:qFormat/>
    <w:uiPriority w:val="0"/>
    <w:pPr>
      <w:tabs>
        <w:tab w:val="left" w:pos="2805"/>
      </w:tabs>
      <w:overflowPunct w:val="0"/>
      <w:autoSpaceDE w:val="0"/>
      <w:autoSpaceDN w:val="0"/>
      <w:adjustRightInd w:val="0"/>
      <w:spacing w:before="60"/>
      <w:jc w:val="center"/>
      <w:textAlignment w:val="baseline"/>
    </w:pPr>
    <w:rPr>
      <w:rFonts w:ascii="宋体" w:hAnsi="宋体" w:eastAsia="仿宋_GB2312" w:cs="Times New Roman"/>
      <w:b/>
      <w:lang w:val="en-US" w:eastAsia="zh-CN" w:bidi="ar-SA"/>
    </w:rPr>
  </w:style>
  <w:style w:type="character" w:customStyle="1" w:styleId="59">
    <w:name w:val="icon_loc"/>
    <w:qFormat/>
    <w:uiPriority w:val="0"/>
    <w:rPr>
      <w:szCs w:val="24"/>
    </w:rPr>
  </w:style>
  <w:style w:type="paragraph" w:customStyle="1" w:styleId="60">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61">
    <w:name w:val="正文_18"/>
    <w:qFormat/>
    <w:uiPriority w:val="0"/>
    <w:pPr>
      <w:widowControl w:val="0"/>
      <w:jc w:val="both"/>
    </w:pPr>
    <w:rPr>
      <w:rFonts w:ascii="Calibri" w:hAnsi="Calibri" w:eastAsia="宋体" w:cs="Times New Roman"/>
      <w:kern w:val="2"/>
      <w:sz w:val="21"/>
      <w:lang w:val="en-US" w:eastAsia="zh-CN" w:bidi="ar-SA"/>
    </w:rPr>
  </w:style>
  <w:style w:type="paragraph" w:customStyle="1" w:styleId="62">
    <w:name w:val="常用正文样式"/>
    <w:basedOn w:val="1"/>
    <w:link w:val="63"/>
    <w:qFormat/>
    <w:uiPriority w:val="0"/>
    <w:pPr>
      <w:spacing w:line="360" w:lineRule="auto"/>
      <w:ind w:firstLine="480" w:firstLineChars="200"/>
    </w:pPr>
    <w:rPr>
      <w:rFonts w:ascii="宋体" w:hAnsi="宋体" w:eastAsia="仿宋_GB2312"/>
      <w:bCs/>
      <w:kern w:val="28"/>
      <w:sz w:val="24"/>
    </w:rPr>
  </w:style>
  <w:style w:type="character" w:customStyle="1" w:styleId="63">
    <w:name w:val="常用正文样式 Char1"/>
    <w:link w:val="62"/>
    <w:qFormat/>
    <w:uiPriority w:val="0"/>
    <w:rPr>
      <w:rFonts w:ascii="宋体" w:hAnsi="宋体" w:eastAsia="仿宋_GB2312" w:cs="宋体"/>
      <w:bCs/>
      <w:kern w:val="28"/>
      <w:sz w:val="24"/>
      <w:szCs w:val="24"/>
    </w:rPr>
  </w:style>
  <w:style w:type="paragraph" w:customStyle="1" w:styleId="64">
    <w:name w:val="xl23"/>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65">
    <w:name w:val="列出段落1"/>
    <w:basedOn w:val="1"/>
    <w:qFormat/>
    <w:uiPriority w:val="34"/>
    <w:pPr>
      <w:ind w:firstLine="420" w:firstLineChars="200"/>
    </w:pPr>
  </w:style>
  <w:style w:type="paragraph" w:customStyle="1" w:styleId="66">
    <w:name w:val="列出段落1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67">
    <w:name w:val="TOC 标题1"/>
    <w:basedOn w:val="4"/>
    <w:next w:val="1"/>
    <w:qFormat/>
    <w:uiPriority w:val="39"/>
    <w:pPr>
      <w:keepLines/>
      <w:widowControl/>
      <w:overflowPunct/>
      <w:snapToGrid/>
      <w:spacing w:before="240" w:after="0"/>
      <w:ind w:left="0" w:firstLine="0"/>
      <w:jc w:val="left"/>
      <w:outlineLvl w:val="9"/>
    </w:pPr>
    <w:rPr>
      <w:rFonts w:ascii="Calibri Light" w:hAnsi="Calibri Light" w:eastAsia="宋体"/>
      <w:b w:val="0"/>
      <w:bCs w:val="0"/>
      <w:color w:val="2E74B5"/>
      <w:kern w:val="0"/>
      <w:sz w:val="32"/>
      <w:szCs w:val="32"/>
    </w:rPr>
  </w:style>
  <w:style w:type="paragraph" w:customStyle="1" w:styleId="68">
    <w:name w:val="_Style 2"/>
    <w:basedOn w:val="1"/>
    <w:qFormat/>
    <w:uiPriority w:val="34"/>
    <w:pPr>
      <w:ind w:firstLine="420" w:firstLineChars="200"/>
    </w:pPr>
    <w:rPr>
      <w:szCs w:val="20"/>
    </w:rPr>
  </w:style>
  <w:style w:type="character" w:customStyle="1" w:styleId="69">
    <w:name w:val="表格文字 Char"/>
    <w:link w:val="70"/>
    <w:qFormat/>
    <w:uiPriority w:val="0"/>
    <w:rPr>
      <w:rFonts w:ascii="仿宋_GB2312" w:hAnsi="Arial Black" w:eastAsia="仿宋_GB2312"/>
      <w:kern w:val="44"/>
      <w:sz w:val="24"/>
    </w:rPr>
  </w:style>
  <w:style w:type="paragraph" w:customStyle="1" w:styleId="70">
    <w:name w:val="表格文字"/>
    <w:basedOn w:val="1"/>
    <w:link w:val="69"/>
    <w:qFormat/>
    <w:uiPriority w:val="0"/>
    <w:pPr>
      <w:jc w:val="center"/>
    </w:pPr>
    <w:rPr>
      <w:rFonts w:ascii="仿宋_GB2312" w:hAnsi="Arial Black" w:eastAsia="仿宋_GB2312"/>
      <w:kern w:val="44"/>
      <w:sz w:val="24"/>
      <w:szCs w:val="20"/>
    </w:rPr>
  </w:style>
  <w:style w:type="character" w:customStyle="1" w:styleId="71">
    <w:name w:val="表蕊居中 Char"/>
    <w:link w:val="72"/>
    <w:qFormat/>
    <w:uiPriority w:val="0"/>
    <w:rPr>
      <w:rFonts w:ascii="宋体" w:hAnsi="宋体"/>
      <w:kern w:val="2"/>
      <w:sz w:val="21"/>
      <w:szCs w:val="24"/>
    </w:rPr>
  </w:style>
  <w:style w:type="paragraph" w:customStyle="1" w:styleId="72">
    <w:name w:val="表蕊居中"/>
    <w:basedOn w:val="1"/>
    <w:link w:val="71"/>
    <w:qFormat/>
    <w:uiPriority w:val="0"/>
    <w:pPr>
      <w:jc w:val="center"/>
    </w:pPr>
    <w:rPr>
      <w:rFonts w:ascii="宋体" w:hAnsi="宋体"/>
    </w:rPr>
  </w:style>
  <w:style w:type="paragraph" w:customStyle="1" w:styleId="73">
    <w:name w:val="Char1"/>
    <w:basedOn w:val="1"/>
    <w:qFormat/>
    <w:uiPriority w:val="0"/>
    <w:pPr>
      <w:spacing w:line="240" w:lineRule="exact"/>
      <w:ind w:firstLine="200" w:firstLineChars="200"/>
    </w:pPr>
  </w:style>
  <w:style w:type="paragraph" w:customStyle="1" w:styleId="74">
    <w:name w:val="正文段落"/>
    <w:basedOn w:val="1"/>
    <w:qFormat/>
    <w:uiPriority w:val="0"/>
    <w:pPr>
      <w:autoSpaceDE w:val="0"/>
      <w:autoSpaceDN w:val="0"/>
      <w:adjustRightInd w:val="0"/>
      <w:spacing w:line="500" w:lineRule="exact"/>
      <w:ind w:firstLine="200" w:firstLineChars="200"/>
      <w:textAlignment w:val="baseline"/>
    </w:pPr>
    <w:rPr>
      <w:rFonts w:ascii="宋体" w:hAnsi="Tms Rmn"/>
      <w:kern w:val="0"/>
      <w:sz w:val="28"/>
      <w:szCs w:val="28"/>
    </w:rPr>
  </w:style>
  <w:style w:type="character" w:customStyle="1" w:styleId="75">
    <w:name w:val="批注文字 Char1"/>
    <w:qFormat/>
    <w:locked/>
    <w:uiPriority w:val="0"/>
    <w:rPr>
      <w:rFonts w:ascii="Times New Roman" w:hAnsi="Times New Roman" w:eastAsia="宋体"/>
      <w:sz w:val="24"/>
    </w:rPr>
  </w:style>
  <w:style w:type="paragraph" w:customStyle="1" w:styleId="76">
    <w:name w:val="Table Paragraph"/>
    <w:basedOn w:val="1"/>
    <w:qFormat/>
    <w:uiPriority w:val="1"/>
    <w:rPr>
      <w:szCs w:val="21"/>
    </w:rPr>
  </w:style>
  <w:style w:type="paragraph" w:customStyle="1" w:styleId="77">
    <w:name w:val="模板标题1"/>
    <w:basedOn w:val="1"/>
    <w:next w:val="1"/>
    <w:qFormat/>
    <w:uiPriority w:val="0"/>
    <w:pPr>
      <w:spacing w:line="360" w:lineRule="auto"/>
      <w:outlineLvl w:val="1"/>
    </w:pPr>
    <w:rPr>
      <w:b/>
      <w:bCs/>
      <w:lang w:val="zh-CN"/>
    </w:rPr>
  </w:style>
  <w:style w:type="paragraph" w:customStyle="1" w:styleId="78">
    <w:name w:val="列出段落12"/>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79">
    <w:name w:val="正文01"/>
    <w:basedOn w:val="1"/>
    <w:qFormat/>
    <w:uiPriority w:val="0"/>
    <w:pPr>
      <w:spacing w:line="420" w:lineRule="exact"/>
      <w:ind w:firstLine="200" w:firstLineChars="200"/>
    </w:pPr>
    <w:rPr>
      <w:bCs/>
      <w:sz w:val="24"/>
    </w:rPr>
  </w:style>
  <w:style w:type="paragraph" w:customStyle="1" w:styleId="80">
    <w:name w:val="表名字510"/>
    <w:basedOn w:val="1"/>
    <w:qFormat/>
    <w:uiPriority w:val="0"/>
    <w:pPr>
      <w:widowControl/>
      <w:snapToGrid w:val="0"/>
      <w:jc w:val="center"/>
    </w:pPr>
    <w:rPr>
      <w:rFonts w:cs="PMingLiU"/>
      <w:sz w:val="24"/>
      <w:lang w:eastAsia="zh-TW"/>
    </w:rPr>
  </w:style>
  <w:style w:type="character" w:customStyle="1" w:styleId="81">
    <w:name w:val="正文510 Char"/>
    <w:link w:val="82"/>
    <w:qFormat/>
    <w:uiPriority w:val="0"/>
    <w:rPr>
      <w:sz w:val="24"/>
      <w:szCs w:val="24"/>
    </w:rPr>
  </w:style>
  <w:style w:type="paragraph" w:customStyle="1" w:styleId="82">
    <w:name w:val="正文510"/>
    <w:basedOn w:val="1"/>
    <w:link w:val="81"/>
    <w:qFormat/>
    <w:uiPriority w:val="0"/>
    <w:pPr>
      <w:snapToGrid w:val="0"/>
      <w:spacing w:line="360" w:lineRule="auto"/>
      <w:ind w:firstLine="200" w:firstLineChars="200"/>
    </w:pPr>
    <w:rPr>
      <w:kern w:val="0"/>
      <w:sz w:val="24"/>
    </w:rPr>
  </w:style>
  <w:style w:type="paragraph" w:customStyle="1" w:styleId="83">
    <w:name w:val="Char Char Char Char Char Char Char Char Char"/>
    <w:basedOn w:val="1"/>
    <w:qFormat/>
    <w:uiPriority w:val="0"/>
  </w:style>
  <w:style w:type="paragraph" w:customStyle="1" w:styleId="84">
    <w:name w:val="5表格"/>
    <w:basedOn w:val="1"/>
    <w:link w:val="85"/>
    <w:qFormat/>
    <w:uiPriority w:val="0"/>
    <w:pPr>
      <w:jc w:val="center"/>
    </w:pPr>
    <w:rPr>
      <w:rFonts w:eastAsia="仿宋"/>
      <w:kern w:val="24"/>
      <w:szCs w:val="21"/>
      <w:lang w:val="zh-CN"/>
    </w:rPr>
  </w:style>
  <w:style w:type="character" w:customStyle="1" w:styleId="85">
    <w:name w:val="5表格 Char"/>
    <w:link w:val="84"/>
    <w:qFormat/>
    <w:uiPriority w:val="0"/>
    <w:rPr>
      <w:rFonts w:eastAsia="仿宋"/>
      <w:kern w:val="24"/>
      <w:sz w:val="21"/>
      <w:szCs w:val="21"/>
      <w:lang w:val="zh-CN"/>
    </w:rPr>
  </w:style>
  <w:style w:type="paragraph" w:customStyle="1" w:styleId="86">
    <w:name w:val="5正文"/>
    <w:basedOn w:val="1"/>
    <w:link w:val="87"/>
    <w:qFormat/>
    <w:uiPriority w:val="0"/>
    <w:pPr>
      <w:snapToGrid w:val="0"/>
      <w:spacing w:line="360" w:lineRule="auto"/>
      <w:ind w:firstLine="200" w:firstLineChars="200"/>
    </w:pPr>
    <w:rPr>
      <w:sz w:val="24"/>
      <w:lang w:val="zh-CN"/>
    </w:rPr>
  </w:style>
  <w:style w:type="character" w:customStyle="1" w:styleId="87">
    <w:name w:val="5正文 Char"/>
    <w:link w:val="86"/>
    <w:qFormat/>
    <w:uiPriority w:val="0"/>
    <w:rPr>
      <w:kern w:val="2"/>
      <w:sz w:val="24"/>
      <w:szCs w:val="24"/>
      <w:lang w:val="zh-CN"/>
    </w:rPr>
  </w:style>
  <w:style w:type="paragraph" w:customStyle="1" w:styleId="88">
    <w:name w:val="5三级标题ee"/>
    <w:basedOn w:val="1"/>
    <w:link w:val="89"/>
    <w:qFormat/>
    <w:uiPriority w:val="0"/>
    <w:pPr>
      <w:autoSpaceDE w:val="0"/>
      <w:autoSpaceDN w:val="0"/>
      <w:adjustRightInd w:val="0"/>
      <w:snapToGrid w:val="0"/>
      <w:spacing w:line="360" w:lineRule="auto"/>
    </w:pPr>
    <w:rPr>
      <w:b/>
      <w:bCs/>
      <w:snapToGrid w:val="0"/>
      <w:color w:val="000000"/>
      <w:kern w:val="0"/>
      <w:sz w:val="24"/>
      <w:lang w:val="zh-CN"/>
    </w:rPr>
  </w:style>
  <w:style w:type="character" w:customStyle="1" w:styleId="89">
    <w:name w:val="5三级标题ee Char"/>
    <w:link w:val="88"/>
    <w:qFormat/>
    <w:uiPriority w:val="0"/>
    <w:rPr>
      <w:b/>
      <w:bCs/>
      <w:snapToGrid w:val="0"/>
      <w:color w:val="000000"/>
      <w:sz w:val="24"/>
      <w:szCs w:val="24"/>
      <w:lang w:val="zh-CN"/>
    </w:rPr>
  </w:style>
  <w:style w:type="paragraph" w:customStyle="1" w:styleId="90">
    <w:name w:val="正文_8"/>
    <w:qFormat/>
    <w:uiPriority w:val="0"/>
    <w:pPr>
      <w:widowControl w:val="0"/>
      <w:jc w:val="both"/>
    </w:pPr>
    <w:rPr>
      <w:rFonts w:ascii="Calibri" w:hAnsi="Calibri" w:eastAsia="宋体" w:cs="Times New Roman"/>
      <w:kern w:val="2"/>
      <w:sz w:val="21"/>
      <w:lang w:val="en-US" w:eastAsia="zh-CN" w:bidi="ar-SA"/>
    </w:rPr>
  </w:style>
  <w:style w:type="paragraph" w:customStyle="1" w:styleId="91">
    <w:name w:val="p0"/>
    <w:basedOn w:val="1"/>
    <w:qFormat/>
    <w:uiPriority w:val="0"/>
    <w:pPr>
      <w:widowControl/>
    </w:pPr>
    <w:rPr>
      <w:szCs w:val="21"/>
    </w:rPr>
  </w:style>
  <w:style w:type="character" w:customStyle="1" w:styleId="92">
    <w:name w:val="font21"/>
    <w:basedOn w:val="23"/>
    <w:qFormat/>
    <w:uiPriority w:val="0"/>
    <w:rPr>
      <w:rFonts w:hint="eastAsia" w:ascii="宋体" w:hAnsi="宋体" w:eastAsia="宋体" w:cs="宋体"/>
      <w:color w:val="000000"/>
      <w:sz w:val="20"/>
      <w:szCs w:val="20"/>
      <w:u w:val="none"/>
    </w:rPr>
  </w:style>
  <w:style w:type="character" w:customStyle="1" w:styleId="93">
    <w:name w:val="font11"/>
    <w:basedOn w:val="23"/>
    <w:qFormat/>
    <w:uiPriority w:val="0"/>
    <w:rPr>
      <w:rFonts w:hint="default" w:ascii="Times New Roman" w:hAnsi="Times New Roman" w:cs="Times New Roman"/>
      <w:color w:val="000000"/>
      <w:sz w:val="20"/>
      <w:szCs w:val="20"/>
      <w:u w:val="none"/>
    </w:rPr>
  </w:style>
  <w:style w:type="character" w:customStyle="1" w:styleId="94">
    <w:name w:val="font51"/>
    <w:basedOn w:val="23"/>
    <w:qFormat/>
    <w:uiPriority w:val="0"/>
    <w:rPr>
      <w:rFonts w:hint="eastAsia" w:ascii="宋体" w:hAnsi="宋体" w:eastAsia="宋体" w:cs="宋体"/>
      <w:color w:val="000000"/>
      <w:sz w:val="21"/>
      <w:szCs w:val="21"/>
      <w:u w:val="none"/>
    </w:rPr>
  </w:style>
  <w:style w:type="character" w:customStyle="1" w:styleId="95">
    <w:name w:val="font01"/>
    <w:basedOn w:val="23"/>
    <w:qFormat/>
    <w:uiPriority w:val="0"/>
    <w:rPr>
      <w:rFonts w:hint="eastAsia" w:ascii="宋体" w:hAnsi="宋体" w:eastAsia="宋体" w:cs="宋体"/>
      <w:color w:val="000000"/>
      <w:sz w:val="22"/>
      <w:szCs w:val="22"/>
      <w:u w:val="none"/>
    </w:rPr>
  </w:style>
  <w:style w:type="character" w:customStyle="1" w:styleId="96">
    <w:name w:val="font61"/>
    <w:basedOn w:val="23"/>
    <w:qFormat/>
    <w:uiPriority w:val="0"/>
    <w:rPr>
      <w:rFonts w:hint="default" w:ascii="Times New Roman" w:hAnsi="Times New Roman" w:cs="Times New Roman"/>
      <w:color w:val="000000"/>
      <w:sz w:val="22"/>
      <w:szCs w:val="22"/>
      <w:u w:val="none"/>
      <w:vertAlign w:val="subscript"/>
    </w:rPr>
  </w:style>
  <w:style w:type="character" w:customStyle="1" w:styleId="97">
    <w:name w:val="font31"/>
    <w:basedOn w:val="23"/>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8.png"/><Relationship Id="rId41" Type="http://schemas.openxmlformats.org/officeDocument/2006/relationships/image" Target="media/image17.jpeg"/><Relationship Id="rId40" Type="http://schemas.openxmlformats.org/officeDocument/2006/relationships/image" Target="media/image16.png"/><Relationship Id="rId4" Type="http://schemas.openxmlformats.org/officeDocument/2006/relationships/footer" Target="footer2.xml"/><Relationship Id="rId39" Type="http://schemas.openxmlformats.org/officeDocument/2006/relationships/image" Target="media/image15.wmf"/><Relationship Id="rId38" Type="http://schemas.openxmlformats.org/officeDocument/2006/relationships/oleObject" Target="embeddings/oleObject12.bin"/><Relationship Id="rId37" Type="http://schemas.openxmlformats.org/officeDocument/2006/relationships/image" Target="media/image14.wmf"/><Relationship Id="rId36" Type="http://schemas.openxmlformats.org/officeDocument/2006/relationships/oleObject" Target="embeddings/oleObject11.bin"/><Relationship Id="rId35" Type="http://schemas.openxmlformats.org/officeDocument/2006/relationships/image" Target="media/image13.wmf"/><Relationship Id="rId34" Type="http://schemas.openxmlformats.org/officeDocument/2006/relationships/oleObject" Target="embeddings/oleObject10.bin"/><Relationship Id="rId33" Type="http://schemas.openxmlformats.org/officeDocument/2006/relationships/image" Target="media/image12.wmf"/><Relationship Id="rId32" Type="http://schemas.openxmlformats.org/officeDocument/2006/relationships/oleObject" Target="embeddings/oleObject9.bin"/><Relationship Id="rId31" Type="http://schemas.openxmlformats.org/officeDocument/2006/relationships/image" Target="media/image11.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0.wmf"/><Relationship Id="rId28" Type="http://schemas.openxmlformats.org/officeDocument/2006/relationships/oleObject" Target="embeddings/oleObject7.bin"/><Relationship Id="rId27" Type="http://schemas.openxmlformats.org/officeDocument/2006/relationships/image" Target="media/image9.emf"/><Relationship Id="rId26" Type="http://schemas.openxmlformats.org/officeDocument/2006/relationships/oleObject" Target="embeddings/oleObject6.bin"/><Relationship Id="rId25" Type="http://schemas.openxmlformats.org/officeDocument/2006/relationships/image" Target="media/image8.emf"/><Relationship Id="rId24" Type="http://schemas.openxmlformats.org/officeDocument/2006/relationships/oleObject" Target="embeddings/oleObject5.bin"/><Relationship Id="rId23" Type="http://schemas.openxmlformats.org/officeDocument/2006/relationships/image" Target="media/image7.png"/><Relationship Id="rId22" Type="http://schemas.openxmlformats.org/officeDocument/2006/relationships/image" Target="media/image6.emf"/><Relationship Id="rId21" Type="http://schemas.openxmlformats.org/officeDocument/2006/relationships/oleObject" Target="embeddings/oleObject4.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weimo\Library\Containers\com.kingsoft.wpsoffice.mac\Data\D:\Users\weimo\Library\Containers\com.kingsoft.wpsoffice.mac\Data\D:\Users\weimo\Library\Containers\com.kingsoft.wpsoffice.mac\Data\D:\Users\weimo\Library\Containers\com.kingsoft.wpsoffice.ma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89</Pages>
  <Words>50434</Words>
  <Characters>64540</Characters>
  <Lines>2886</Lines>
  <Paragraphs>1726</Paragraphs>
  <TotalTime>81</TotalTime>
  <ScaleCrop>false</ScaleCrop>
  <LinksUpToDate>false</LinksUpToDate>
  <CharactersWithSpaces>65279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2022-04-28T16:57:00Z</dcterms:created>
  <dc:creator>lhj</dc:creator>
  <cp:lastModifiedBy>Qbh</cp:lastModifiedBy>
  <cp:lastPrinted>2023-01-13T01:38:00Z</cp:lastPrinted>
  <dcterms:modified xsi:type="dcterms:W3CDTF">2023-02-15T00:41:28Z</dcterms:modified>
  <dc:title>附件2</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81C0100BA3D343A4B50ED184F239696A</vt:lpwstr>
  </property>
</Properties>
</file>